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75" w:type="dxa"/>
        <w:tblInd w:w="-4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2"/>
        <w:gridCol w:w="5163"/>
      </w:tblGrid>
      <w:tr w14:paraId="6F448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0275" w:type="dxa"/>
            <w:gridSpan w:val="2"/>
            <w:tcBorders>
              <w:top w:val="thickThinSmallGap" w:color="auto" w:sz="24" w:space="0"/>
              <w:left w:val="thickThinSmallGap" w:color="auto" w:sz="24" w:space="0"/>
              <w:right w:val="thickThinSmallGap" w:color="auto" w:sz="24" w:space="0"/>
            </w:tcBorders>
            <w:vAlign w:val="center"/>
          </w:tcPr>
          <w:p w14:paraId="385256B4">
            <w:pPr>
              <w:jc w:val="center"/>
              <w:rPr>
                <w:i/>
              </w:rPr>
            </w:pPr>
          </w:p>
          <w:p w14:paraId="49D5071D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OBRAZAC</w:t>
            </w:r>
          </w:p>
          <w:p w14:paraId="0C7EC791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sudjelovanja javnosti u internetskom savjetovanju o nacrtu prijedloga odluke </w:t>
            </w:r>
          </w:p>
          <w:p w14:paraId="76BACBF5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ili drugog općeg akta </w:t>
            </w:r>
          </w:p>
          <w:p w14:paraId="772F5E60">
            <w:pPr>
              <w:jc w:val="center"/>
              <w:rPr>
                <w:i/>
              </w:rPr>
            </w:pPr>
          </w:p>
        </w:tc>
      </w:tr>
      <w:tr w14:paraId="158D3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112" w:type="dxa"/>
            <w:tcBorders>
              <w:left w:val="thickThinSmallGap" w:color="auto" w:sz="24" w:space="0"/>
            </w:tcBorders>
            <w:vAlign w:val="center"/>
          </w:tcPr>
          <w:p w14:paraId="3373D434">
            <w:pPr>
              <w:rPr>
                <w:b/>
                <w:iCs/>
              </w:rPr>
            </w:pPr>
            <w:r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color="auto" w:sz="24" w:space="0"/>
            </w:tcBorders>
            <w:vAlign w:val="center"/>
          </w:tcPr>
          <w:p w14:paraId="7DA09BFD">
            <w:pPr>
              <w:jc w:val="center"/>
              <w:rPr>
                <w:rFonts w:hint="default"/>
                <w:iCs/>
                <w:lang w:val="hr-HR"/>
              </w:rPr>
            </w:pPr>
            <w:bookmarkStart w:id="0" w:name="_Hlk129691131"/>
            <w:r>
              <w:rPr>
                <w:iCs/>
              </w:rPr>
              <w:t xml:space="preserve">Nacrt prijedloga Odluke o </w:t>
            </w:r>
            <w:bookmarkEnd w:id="0"/>
            <w:r>
              <w:rPr>
                <w:rFonts w:hint="default"/>
                <w:iCs/>
                <w:lang w:val="hr-HR"/>
              </w:rPr>
              <w:t>javnim priznanjima Grada Kaštela</w:t>
            </w:r>
          </w:p>
        </w:tc>
      </w:tr>
      <w:tr w14:paraId="6A72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112" w:type="dxa"/>
            <w:tcBorders>
              <w:left w:val="thickThinSmallGap" w:color="auto" w:sz="24" w:space="0"/>
            </w:tcBorders>
            <w:vAlign w:val="center"/>
          </w:tcPr>
          <w:p w14:paraId="654DC549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Nositelj izrade akta/dokumenta </w:t>
            </w:r>
          </w:p>
        </w:tc>
        <w:tc>
          <w:tcPr>
            <w:tcW w:w="5162" w:type="dxa"/>
            <w:tcBorders>
              <w:right w:val="thickThinSmallGap" w:color="auto" w:sz="24" w:space="0"/>
            </w:tcBorders>
            <w:vAlign w:val="center"/>
          </w:tcPr>
          <w:p w14:paraId="73965CC8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Grad Kaštela, Upravni odjel za poslove Gradonačelnika i stručne poslove</w:t>
            </w:r>
          </w:p>
        </w:tc>
      </w:tr>
      <w:tr w14:paraId="6E4D9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0275" w:type="dxa"/>
            <w:gridSpan w:val="2"/>
            <w:tcBorders>
              <w:left w:val="thickThinSmallGap" w:color="auto" w:sz="24" w:space="0"/>
              <w:bottom w:val="thickThinSmallGap" w:color="auto" w:sz="24" w:space="0"/>
              <w:right w:val="thickThinSmallGap" w:color="auto" w:sz="24" w:space="0"/>
            </w:tcBorders>
            <w:vAlign w:val="center"/>
          </w:tcPr>
          <w:p w14:paraId="3D33101B">
            <w:pPr>
              <w:jc w:val="center"/>
              <w:rPr>
                <w:b/>
                <w:i/>
              </w:rPr>
            </w:pPr>
          </w:p>
          <w:p w14:paraId="6AFDB81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Razdoblje savjetovanja</w:t>
            </w:r>
          </w:p>
          <w:p w14:paraId="6CA060CD">
            <w:pPr>
              <w:jc w:val="center"/>
              <w:rPr>
                <w:b/>
                <w:iCs/>
              </w:rPr>
            </w:pPr>
            <w:r>
              <w:rPr>
                <w:rFonts w:hint="default"/>
                <w:b/>
                <w:iCs/>
                <w:lang w:val="hr-HR"/>
              </w:rPr>
              <w:t>11</w:t>
            </w:r>
            <w:r>
              <w:rPr>
                <w:b/>
                <w:iCs/>
              </w:rPr>
              <w:t>.0</w:t>
            </w:r>
            <w:r>
              <w:rPr>
                <w:rFonts w:hint="default"/>
                <w:b/>
                <w:iCs/>
                <w:lang w:val="hr-HR"/>
              </w:rPr>
              <w:t>9</w:t>
            </w:r>
            <w:r>
              <w:rPr>
                <w:b/>
                <w:iCs/>
              </w:rPr>
              <w:t>.2026.-</w:t>
            </w:r>
            <w:r>
              <w:rPr>
                <w:rFonts w:hint="default"/>
                <w:b/>
                <w:iCs/>
                <w:lang w:val="hr-HR"/>
              </w:rPr>
              <w:t>12</w:t>
            </w:r>
            <w:r>
              <w:rPr>
                <w:b/>
                <w:iCs/>
              </w:rPr>
              <w:t>.</w:t>
            </w:r>
            <w:r>
              <w:rPr>
                <w:rFonts w:hint="default"/>
                <w:b/>
                <w:iCs/>
                <w:lang w:val="hr-HR"/>
              </w:rPr>
              <w:t>10</w:t>
            </w:r>
            <w:r>
              <w:rPr>
                <w:b/>
                <w:iCs/>
              </w:rPr>
              <w:t>.2026.</w:t>
            </w:r>
          </w:p>
          <w:p w14:paraId="0FB6AE68">
            <w:pPr>
              <w:jc w:val="center"/>
              <w:rPr>
                <w:b/>
                <w:i/>
              </w:rPr>
            </w:pPr>
          </w:p>
        </w:tc>
      </w:tr>
      <w:tr w14:paraId="4A39D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5112" w:type="dxa"/>
            <w:tcBorders>
              <w:top w:val="thickThinSmallGap" w:color="auto" w:sz="24" w:space="0"/>
              <w:left w:val="thickThinSmallGap" w:color="auto" w:sz="24" w:space="0"/>
            </w:tcBorders>
            <w:vAlign w:val="center"/>
          </w:tcPr>
          <w:p w14:paraId="30F1F7CD">
            <w:pPr>
              <w:rPr>
                <w:iCs/>
              </w:rPr>
            </w:pPr>
            <w:r>
              <w:rPr>
                <w:iCs/>
              </w:rPr>
              <w:t xml:space="preserve">Ime i prezime osobe odnosno naziv predstavnika </w:t>
            </w:r>
            <w:bookmarkStart w:id="1" w:name="_GoBack"/>
            <w:bookmarkEnd w:id="1"/>
            <w:r>
              <w:rPr>
                <w:iCs/>
              </w:rPr>
              <w:t>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color="auto" w:sz="24" w:space="0"/>
              <w:right w:val="thickThinSmallGap" w:color="auto" w:sz="24" w:space="0"/>
            </w:tcBorders>
            <w:vAlign w:val="center"/>
          </w:tcPr>
          <w:p w14:paraId="4DBC41EC">
            <w:pPr>
              <w:rPr>
                <w:i/>
              </w:rPr>
            </w:pPr>
          </w:p>
        </w:tc>
      </w:tr>
      <w:tr w14:paraId="3CAAB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5112" w:type="dxa"/>
            <w:tcBorders>
              <w:left w:val="thickThinSmallGap" w:color="auto" w:sz="24" w:space="0"/>
            </w:tcBorders>
            <w:vAlign w:val="center"/>
          </w:tcPr>
          <w:p w14:paraId="28A2714F">
            <w:pPr>
              <w:rPr>
                <w:iCs/>
              </w:rPr>
            </w:pPr>
            <w:r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color="auto" w:sz="24" w:space="0"/>
            </w:tcBorders>
            <w:vAlign w:val="center"/>
          </w:tcPr>
          <w:p w14:paraId="7AE19F57">
            <w:pPr>
              <w:rPr>
                <w:i/>
              </w:rPr>
            </w:pPr>
          </w:p>
        </w:tc>
      </w:tr>
      <w:tr w14:paraId="77021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112" w:type="dxa"/>
            <w:tcBorders>
              <w:left w:val="thickThinSmallGap" w:color="auto" w:sz="24" w:space="0"/>
            </w:tcBorders>
            <w:vAlign w:val="center"/>
          </w:tcPr>
          <w:p w14:paraId="7D1E8E5C">
            <w:pPr>
              <w:rPr>
                <w:iCs/>
              </w:rPr>
            </w:pPr>
            <w:r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color="auto" w:sz="24" w:space="0"/>
            </w:tcBorders>
            <w:vAlign w:val="center"/>
          </w:tcPr>
          <w:p w14:paraId="18485D74">
            <w:pPr>
              <w:rPr>
                <w:i/>
              </w:rPr>
            </w:pPr>
          </w:p>
          <w:p w14:paraId="2B35F2B3">
            <w:pPr>
              <w:rPr>
                <w:i/>
              </w:rPr>
            </w:pPr>
          </w:p>
          <w:p w14:paraId="4FAC8269">
            <w:pPr>
              <w:rPr>
                <w:i/>
              </w:rPr>
            </w:pPr>
          </w:p>
          <w:p w14:paraId="2813D7A1">
            <w:pPr>
              <w:rPr>
                <w:i/>
              </w:rPr>
            </w:pPr>
          </w:p>
          <w:p w14:paraId="1C43FB08">
            <w:pPr>
              <w:rPr>
                <w:i/>
              </w:rPr>
            </w:pPr>
          </w:p>
        </w:tc>
      </w:tr>
      <w:tr w14:paraId="0996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5112" w:type="dxa"/>
            <w:tcBorders>
              <w:left w:val="thickThinSmallGap" w:color="auto" w:sz="24" w:space="0"/>
            </w:tcBorders>
            <w:vAlign w:val="center"/>
          </w:tcPr>
          <w:p w14:paraId="26292035">
            <w:pPr>
              <w:rPr>
                <w:iCs/>
              </w:rPr>
            </w:pPr>
            <w:r>
              <w:rPr>
                <w:iCs/>
              </w:rPr>
              <w:t>Primjedbe i prijedlozi na pojedine članke nacrta prijedloga akta s obrazloženjem</w:t>
            </w:r>
          </w:p>
          <w:p w14:paraId="12C54F39">
            <w:pPr>
              <w:rPr>
                <w:i/>
              </w:rPr>
            </w:pPr>
          </w:p>
          <w:p w14:paraId="367CF980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color="auto" w:sz="24" w:space="0"/>
            </w:tcBorders>
            <w:vAlign w:val="center"/>
          </w:tcPr>
          <w:p w14:paraId="737C7B63">
            <w:pPr>
              <w:rPr>
                <w:i/>
              </w:rPr>
            </w:pPr>
          </w:p>
        </w:tc>
      </w:tr>
      <w:tr w14:paraId="516EC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5112" w:type="dxa"/>
            <w:tcBorders>
              <w:left w:val="thickThinSmallGap" w:color="auto" w:sz="24" w:space="0"/>
            </w:tcBorders>
            <w:vAlign w:val="center"/>
          </w:tcPr>
          <w:p w14:paraId="6EDE7006">
            <w:pPr>
              <w:rPr>
                <w:iCs/>
              </w:rPr>
            </w:pPr>
            <w:r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color="auto" w:sz="24" w:space="0"/>
            </w:tcBorders>
            <w:vAlign w:val="center"/>
          </w:tcPr>
          <w:p w14:paraId="667C8107">
            <w:pPr>
              <w:rPr>
                <w:i/>
              </w:rPr>
            </w:pPr>
          </w:p>
        </w:tc>
      </w:tr>
      <w:tr w14:paraId="55D76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5112" w:type="dxa"/>
            <w:tcBorders>
              <w:left w:val="thickThinSmallGap" w:color="auto" w:sz="24" w:space="0"/>
            </w:tcBorders>
            <w:vAlign w:val="center"/>
          </w:tcPr>
          <w:p w14:paraId="60C1B2E8">
            <w:pPr>
              <w:rPr>
                <w:iCs/>
              </w:rPr>
            </w:pPr>
            <w:r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color="auto" w:sz="24" w:space="0"/>
            </w:tcBorders>
            <w:vAlign w:val="center"/>
          </w:tcPr>
          <w:p w14:paraId="01F958FC">
            <w:pPr>
              <w:rPr>
                <w:i/>
              </w:rPr>
            </w:pPr>
          </w:p>
        </w:tc>
      </w:tr>
      <w:tr w14:paraId="3F555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112" w:type="dxa"/>
            <w:tcBorders>
              <w:left w:val="thickThinSmallGap" w:color="auto" w:sz="24" w:space="0"/>
            </w:tcBorders>
            <w:vAlign w:val="center"/>
          </w:tcPr>
          <w:p w14:paraId="216CD6B9">
            <w:pPr>
              <w:rPr>
                <w:iCs/>
              </w:rPr>
            </w:pPr>
            <w:r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right w:val="thickThinSmallGap" w:color="auto" w:sz="24" w:space="0"/>
            </w:tcBorders>
            <w:vAlign w:val="center"/>
          </w:tcPr>
          <w:p w14:paraId="67764581">
            <w:pPr>
              <w:rPr>
                <w:i/>
              </w:rPr>
            </w:pPr>
          </w:p>
        </w:tc>
      </w:tr>
      <w:tr w14:paraId="68996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5112" w:type="dxa"/>
            <w:vMerge w:val="restart"/>
            <w:tcBorders>
              <w:left w:val="thickThinSmallGap" w:color="auto" w:sz="24" w:space="0"/>
            </w:tcBorders>
            <w:vAlign w:val="center"/>
          </w:tcPr>
          <w:p w14:paraId="6A518EE5">
            <w:pPr>
              <w:rPr>
                <w:rFonts w:hint="default"/>
                <w:iCs/>
                <w:lang w:val="hr-HR"/>
              </w:rPr>
            </w:pPr>
            <w:r>
              <w:rPr>
                <w:rFonts w:hint="default"/>
                <w:iCs/>
                <w:lang w:val="hr-HR"/>
              </w:rPr>
              <w:t>Radna skupina</w:t>
            </w:r>
          </w:p>
        </w:tc>
        <w:tc>
          <w:tcPr>
            <w:tcW w:w="5162" w:type="dxa"/>
            <w:tcBorders>
              <w:right w:val="thickThinSmallGap" w:color="auto" w:sz="24" w:space="0"/>
            </w:tcBorders>
            <w:vAlign w:val="center"/>
          </w:tcPr>
          <w:p w14:paraId="6E7B5341">
            <w:pPr>
              <w:rPr>
                <w:rFonts w:hint="default"/>
                <w:i/>
                <w:lang w:val="hr-HR"/>
              </w:rPr>
            </w:pPr>
            <w:r>
              <w:rPr>
                <w:rFonts w:hint="default"/>
                <w:i/>
                <w:lang w:val="hr-HR"/>
              </w:rPr>
              <w:t>članovi:</w:t>
            </w:r>
          </w:p>
        </w:tc>
      </w:tr>
      <w:tr w14:paraId="7A9B8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5112" w:type="dxa"/>
            <w:vMerge w:val="continue"/>
            <w:tcBorders>
              <w:left w:val="thickThinSmallGap" w:color="auto" w:sz="24" w:space="0"/>
              <w:bottom w:val="thickThinSmallGap" w:color="auto" w:sz="24" w:space="0"/>
            </w:tcBorders>
            <w:vAlign w:val="center"/>
          </w:tcPr>
          <w:p w14:paraId="1BE35D3C">
            <w:pPr>
              <w:rPr>
                <w:rFonts w:hint="default"/>
                <w:iCs/>
                <w:lang w:val="hr-HR"/>
              </w:rPr>
            </w:pPr>
          </w:p>
        </w:tc>
        <w:tc>
          <w:tcPr>
            <w:tcW w:w="5162" w:type="dxa"/>
            <w:tcBorders>
              <w:bottom w:val="thickThinSmallGap" w:color="auto" w:sz="24" w:space="0"/>
              <w:right w:val="thickThinSmallGap" w:color="auto" w:sz="24" w:space="0"/>
            </w:tcBorders>
            <w:vAlign w:val="center"/>
          </w:tcPr>
          <w:p w14:paraId="62067DBF">
            <w:pPr>
              <w:jc w:val="center"/>
              <w:rPr>
                <w:rFonts w:hint="default"/>
                <w:i/>
                <w:lang w:val="hr-HR"/>
              </w:rPr>
            </w:pPr>
            <w:r>
              <w:rPr>
                <w:rFonts w:hint="default"/>
                <w:i/>
                <w:lang w:val="hr-HR"/>
              </w:rPr>
              <w:t>NEMA RADNE SKUPINE</w:t>
            </w:r>
          </w:p>
        </w:tc>
      </w:tr>
    </w:tbl>
    <w:p w14:paraId="1D0AE30C">
      <w:pPr>
        <w:jc w:val="both"/>
        <w:rPr>
          <w:b/>
          <w:sz w:val="16"/>
          <w:szCs w:val="16"/>
        </w:rPr>
      </w:pPr>
    </w:p>
    <w:p w14:paraId="2BC9F19C">
      <w:pPr>
        <w:jc w:val="center"/>
        <w:rPr>
          <w:b/>
          <w:i/>
        </w:rPr>
      </w:pPr>
      <w:r>
        <w:rPr>
          <w:b/>
          <w:i/>
        </w:rPr>
        <w:t>Važna napomena:</w:t>
      </w:r>
    </w:p>
    <w:p w14:paraId="56C6B177">
      <w:pPr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Popunjeni obrazac s eventualnim prilozima potrebno je dostaviti zaključno </w:t>
      </w:r>
      <w:r>
        <w:rPr>
          <w:rFonts w:hint="default"/>
          <w:bCs/>
          <w:iCs/>
          <w:sz w:val="20"/>
          <w:szCs w:val="20"/>
          <w:lang w:val="hr-HR"/>
        </w:rPr>
        <w:t>s 12</w:t>
      </w:r>
      <w:r>
        <w:rPr>
          <w:bCs/>
          <w:iCs/>
          <w:sz w:val="20"/>
          <w:szCs w:val="20"/>
        </w:rPr>
        <w:t xml:space="preserve">. </w:t>
      </w:r>
      <w:r>
        <w:rPr>
          <w:rFonts w:hint="default"/>
          <w:bCs/>
          <w:iCs/>
          <w:sz w:val="20"/>
          <w:szCs w:val="20"/>
          <w:lang w:val="hr-HR"/>
        </w:rPr>
        <w:t>listopada</w:t>
      </w:r>
      <w:r>
        <w:rPr>
          <w:bCs/>
          <w:iCs/>
          <w:sz w:val="20"/>
          <w:szCs w:val="20"/>
        </w:rPr>
        <w:t xml:space="preserve"> 2026. godine na e-mail adresu vedrana.malenica@kastela.hr ili u pisanom obliku na adresu: Grad Kaštela, Upravni odjel za poslove Gradonačelnika i stručne poslove, Ulica braće Radić 1, 21212 Kaštel Sućurac  (s naznakom: „Savjetovanje s javnošću - Nacrt prijedloga Odluke o </w:t>
      </w:r>
      <w:r>
        <w:rPr>
          <w:rFonts w:hint="default"/>
          <w:bCs/>
          <w:iCs/>
          <w:sz w:val="20"/>
          <w:szCs w:val="20"/>
          <w:lang w:val="hr-HR"/>
        </w:rPr>
        <w:t>javnim priznanjima Grada Kaštela</w:t>
      </w:r>
      <w:r>
        <w:rPr>
          <w:bCs/>
          <w:iCs/>
          <w:sz w:val="20"/>
          <w:szCs w:val="20"/>
        </w:rPr>
        <w:t>).</w:t>
      </w:r>
    </w:p>
    <w:p w14:paraId="36A75E09">
      <w:pPr>
        <w:rPr>
          <w:bCs/>
          <w:iCs/>
          <w:sz w:val="20"/>
          <w:szCs w:val="20"/>
        </w:rPr>
      </w:pPr>
    </w:p>
    <w:p w14:paraId="395561D0">
      <w:pPr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p w14:paraId="45BE23D5">
      <w:pPr>
        <w:jc w:val="both"/>
        <w:rPr>
          <w:rFonts w:hint="default"/>
          <w:bCs/>
          <w:iCs/>
          <w:sz w:val="20"/>
          <w:szCs w:val="20"/>
          <w:lang w:val="hr-HR"/>
        </w:rPr>
      </w:pPr>
    </w:p>
    <w:sectPr>
      <w:pgSz w:w="11906" w:h="16838"/>
      <w:pgMar w:top="1077" w:right="1418" w:bottom="567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0F0"/>
    <w:rsid w:val="00000F5E"/>
    <w:rsid w:val="00022A34"/>
    <w:rsid w:val="0004175E"/>
    <w:rsid w:val="00042BFA"/>
    <w:rsid w:val="00064FB6"/>
    <w:rsid w:val="00066F5B"/>
    <w:rsid w:val="00080019"/>
    <w:rsid w:val="000B326A"/>
    <w:rsid w:val="000C6DD2"/>
    <w:rsid w:val="000D684A"/>
    <w:rsid w:val="000E27FA"/>
    <w:rsid w:val="000E6E2E"/>
    <w:rsid w:val="00123B0F"/>
    <w:rsid w:val="001240D4"/>
    <w:rsid w:val="00130EB5"/>
    <w:rsid w:val="00140BDB"/>
    <w:rsid w:val="00142418"/>
    <w:rsid w:val="001960F0"/>
    <w:rsid w:val="001E3FED"/>
    <w:rsid w:val="002352F7"/>
    <w:rsid w:val="002412E5"/>
    <w:rsid w:val="0024769A"/>
    <w:rsid w:val="002769DB"/>
    <w:rsid w:val="002F7828"/>
    <w:rsid w:val="003026AF"/>
    <w:rsid w:val="00325728"/>
    <w:rsid w:val="00351B8B"/>
    <w:rsid w:val="00361708"/>
    <w:rsid w:val="00375869"/>
    <w:rsid w:val="003B31E9"/>
    <w:rsid w:val="003B57CF"/>
    <w:rsid w:val="003B7E0A"/>
    <w:rsid w:val="003E6360"/>
    <w:rsid w:val="004035FE"/>
    <w:rsid w:val="0040512E"/>
    <w:rsid w:val="00415E73"/>
    <w:rsid w:val="0045113C"/>
    <w:rsid w:val="004A7AD1"/>
    <w:rsid w:val="004C3602"/>
    <w:rsid w:val="004C5B0F"/>
    <w:rsid w:val="004D7722"/>
    <w:rsid w:val="005743BA"/>
    <w:rsid w:val="00585E64"/>
    <w:rsid w:val="005F46AE"/>
    <w:rsid w:val="00687369"/>
    <w:rsid w:val="007066E3"/>
    <w:rsid w:val="007066FB"/>
    <w:rsid w:val="00706F46"/>
    <w:rsid w:val="00707AC6"/>
    <w:rsid w:val="007301B0"/>
    <w:rsid w:val="0077099D"/>
    <w:rsid w:val="00794534"/>
    <w:rsid w:val="00807837"/>
    <w:rsid w:val="008123C4"/>
    <w:rsid w:val="008912E5"/>
    <w:rsid w:val="00892EB3"/>
    <w:rsid w:val="008A363D"/>
    <w:rsid w:val="008D55A8"/>
    <w:rsid w:val="00922D5F"/>
    <w:rsid w:val="009322CE"/>
    <w:rsid w:val="00954470"/>
    <w:rsid w:val="00965E6A"/>
    <w:rsid w:val="00984E62"/>
    <w:rsid w:val="009927C7"/>
    <w:rsid w:val="009943B8"/>
    <w:rsid w:val="009C17E3"/>
    <w:rsid w:val="009D162B"/>
    <w:rsid w:val="009E5317"/>
    <w:rsid w:val="009F6F4D"/>
    <w:rsid w:val="009F79B7"/>
    <w:rsid w:val="00A14692"/>
    <w:rsid w:val="00A36BC3"/>
    <w:rsid w:val="00A5026B"/>
    <w:rsid w:val="00A62756"/>
    <w:rsid w:val="00A773B0"/>
    <w:rsid w:val="00A83233"/>
    <w:rsid w:val="00AA02D8"/>
    <w:rsid w:val="00AB3D82"/>
    <w:rsid w:val="00B02C1D"/>
    <w:rsid w:val="00B036B7"/>
    <w:rsid w:val="00B13D8A"/>
    <w:rsid w:val="00B40F38"/>
    <w:rsid w:val="00B92074"/>
    <w:rsid w:val="00BB230A"/>
    <w:rsid w:val="00BB6354"/>
    <w:rsid w:val="00BC09C5"/>
    <w:rsid w:val="00BD087E"/>
    <w:rsid w:val="00C23E61"/>
    <w:rsid w:val="00C47212"/>
    <w:rsid w:val="00C538A6"/>
    <w:rsid w:val="00C55F62"/>
    <w:rsid w:val="00C6302D"/>
    <w:rsid w:val="00CD4B19"/>
    <w:rsid w:val="00D00326"/>
    <w:rsid w:val="00D20102"/>
    <w:rsid w:val="00D25637"/>
    <w:rsid w:val="00D624EC"/>
    <w:rsid w:val="00D961F0"/>
    <w:rsid w:val="00DA697C"/>
    <w:rsid w:val="00DB1E84"/>
    <w:rsid w:val="00DE6E38"/>
    <w:rsid w:val="00DF2A53"/>
    <w:rsid w:val="00E04957"/>
    <w:rsid w:val="00E3424D"/>
    <w:rsid w:val="00E41E08"/>
    <w:rsid w:val="00E574A1"/>
    <w:rsid w:val="00E96290"/>
    <w:rsid w:val="00E965D7"/>
    <w:rsid w:val="00EB2845"/>
    <w:rsid w:val="00F1186B"/>
    <w:rsid w:val="00F23E5E"/>
    <w:rsid w:val="00F62067"/>
    <w:rsid w:val="00F80190"/>
    <w:rsid w:val="00F825C2"/>
    <w:rsid w:val="00F87A0E"/>
    <w:rsid w:val="00F91AA8"/>
    <w:rsid w:val="00F978B3"/>
    <w:rsid w:val="00FA40C3"/>
    <w:rsid w:val="00FB26B3"/>
    <w:rsid w:val="00FC3511"/>
    <w:rsid w:val="00FC4C0B"/>
    <w:rsid w:val="00FD6C18"/>
    <w:rsid w:val="00FF00E0"/>
    <w:rsid w:val="042852A9"/>
    <w:rsid w:val="054C2A64"/>
    <w:rsid w:val="0B2E08E5"/>
    <w:rsid w:val="10CB0A60"/>
    <w:rsid w:val="47B40A70"/>
    <w:rsid w:val="6FAF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footnote text"/>
    <w:basedOn w:val="1"/>
    <w:link w:val="9"/>
    <w:unhideWhenUsed/>
    <w:uiPriority w:val="0"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customStyle="1" w:styleId="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hr-HR" w:eastAsia="zh-CN" w:bidi="ar-SA"/>
    </w:rPr>
  </w:style>
  <w:style w:type="character" w:customStyle="1" w:styleId="9">
    <w:name w:val="Footnote Text Char"/>
    <w:basedOn w:val="2"/>
    <w:link w:val="5"/>
    <w:qFormat/>
    <w:uiPriority w:val="0"/>
    <w:rPr>
      <w:rFonts w:ascii="Calibri" w:hAnsi="Calibri" w:eastAsia="Calibri" w:cs="Times New Roman"/>
      <w:sz w:val="20"/>
      <w:szCs w:val="20"/>
    </w:rPr>
  </w:style>
  <w:style w:type="paragraph" w:styleId="10">
    <w:name w:val="List Paragraph"/>
    <w:basedOn w:val="1"/>
    <w:qFormat/>
    <w:uiPriority w:val="34"/>
    <w:pPr>
      <w:ind w:left="720"/>
    </w:pPr>
    <w:rPr>
      <w:rFonts w:ascii="Calibri" w:hAnsi="Calibri" w:eastAsiaTheme="minorHAnsi"/>
      <w:sz w:val="22"/>
      <w:szCs w:val="22"/>
      <w:lang w:eastAsia="en-US"/>
    </w:rPr>
  </w:style>
  <w:style w:type="paragraph" w:customStyle="1" w:styleId="11">
    <w:name w:val="t-9-8"/>
    <w:basedOn w:val="1"/>
    <w:qFormat/>
    <w:uiPriority w:val="0"/>
    <w:pPr>
      <w:spacing w:before="100" w:beforeAutospacing="1" w:after="100" w:afterAutospacing="1"/>
    </w:pPr>
  </w:style>
  <w:style w:type="character" w:customStyle="1" w:styleId="12">
    <w:name w:val="Balloon Text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hr-HR"/>
    </w:rPr>
  </w:style>
  <w:style w:type="character" w:customStyle="1" w:styleId="13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Grad Zagreb</Company>
  <Pages>1</Pages>
  <Words>285</Words>
  <Characters>1786</Characters>
  <Lines>14</Lines>
  <Paragraphs>4</Paragraphs>
  <TotalTime>22</TotalTime>
  <ScaleCrop>false</ScaleCrop>
  <LinksUpToDate>false</LinksUpToDate>
  <CharactersWithSpaces>2055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2026-03-26T08:44:00Z</dcterms:created>
  <dc:creator>Snježana Šoufek</dc:creator>
  <cp:lastModifiedBy>vmalenica</cp:lastModifiedBy>
  <cp:lastPrinted>2026-09-11T07:50:40Z</cp:lastPrinted>
  <dcterms:modified xsi:type="dcterms:W3CDTF">2026-09-11T07:53:43Z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eyJoZGlkIjoiODg0NzZiNjFmMTkzYzFjOGM4ZThlZDYzMzQ0MDIxNDYifQ==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3F602E2FF073485EBD9CD2EDA57AAE09_13</vt:lpwstr>
  </property>
</Properties>
</file>