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A317" w14:textId="77777777" w:rsidR="00732FA9" w:rsidRPr="00775DEF" w:rsidRDefault="006777E6" w:rsidP="00874A19">
      <w:pPr>
        <w:ind w:right="4827"/>
        <w:jc w:val="center"/>
        <w:rPr>
          <w:sz w:val="12"/>
          <w:szCs w:val="12"/>
        </w:rPr>
      </w:pPr>
      <w:r w:rsidRPr="00775DEF">
        <w:rPr>
          <w:noProof/>
          <w:lang w:eastAsia="hr-HR"/>
        </w:rPr>
        <w:drawing>
          <wp:inline distT="0" distB="0" distL="0" distR="0" wp14:anchorId="686E6BDA" wp14:editId="6F2C739E">
            <wp:extent cx="501015" cy="620395"/>
            <wp:effectExtent l="1905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E967EB" w14:textId="77777777" w:rsidR="00732FA9" w:rsidRPr="00775DEF" w:rsidRDefault="00732FA9" w:rsidP="00874A19">
      <w:pPr>
        <w:spacing w:before="120" w:after="120" w:line="240" w:lineRule="auto"/>
        <w:ind w:right="4746"/>
        <w:jc w:val="center"/>
        <w:rPr>
          <w:rFonts w:asciiTheme="minorHAnsi" w:hAnsiTheme="minorHAnsi"/>
          <w:b/>
          <w:bCs/>
        </w:rPr>
      </w:pPr>
      <w:r w:rsidRPr="00775DEF">
        <w:rPr>
          <w:rFonts w:asciiTheme="minorHAnsi" w:hAnsiTheme="minorHAnsi"/>
          <w:b/>
          <w:bCs/>
        </w:rPr>
        <w:t>R E P U B L I K A  H R V A T S K A</w:t>
      </w:r>
    </w:p>
    <w:p w14:paraId="504495E9" w14:textId="77777777" w:rsidR="00732FA9" w:rsidRPr="00775DEF" w:rsidRDefault="00AF7177" w:rsidP="00AF7177">
      <w:r>
        <w:t xml:space="preserve">             </w:t>
      </w:r>
      <w:r w:rsidR="00732FA9" w:rsidRPr="00775DEF">
        <w:t xml:space="preserve">SPLITSKO-DALMATINSKA ŽUPANIJA </w:t>
      </w:r>
    </w:p>
    <w:p w14:paraId="7237E914" w14:textId="77777777" w:rsidR="00732FA9" w:rsidRPr="00775DEF" w:rsidRDefault="00732FA9" w:rsidP="00465354">
      <w:pPr>
        <w:ind w:left="708" w:firstLine="708"/>
        <w:rPr>
          <w:b/>
        </w:rPr>
      </w:pPr>
      <w:bookmarkStart w:id="0" w:name="_Toc36462878"/>
      <w:bookmarkStart w:id="1" w:name="_Toc36538780"/>
      <w:r w:rsidRPr="00775DEF">
        <w:t>GRAD KAŠTELA</w:t>
      </w:r>
      <w:bookmarkEnd w:id="0"/>
      <w:bookmarkEnd w:id="1"/>
    </w:p>
    <w:p w14:paraId="65F59182" w14:textId="77777777" w:rsidR="00732FA9" w:rsidRPr="00775DEF" w:rsidRDefault="00732FA9" w:rsidP="002165F6">
      <w:pPr>
        <w:spacing w:before="100" w:beforeAutospacing="1" w:after="0" w:line="240" w:lineRule="auto"/>
        <w:ind w:left="4956"/>
        <w:rPr>
          <w:rFonts w:asciiTheme="minorHAnsi" w:hAnsiTheme="minorHAnsi"/>
          <w:bCs/>
          <w:lang w:eastAsia="hr-HR"/>
        </w:rPr>
      </w:pPr>
    </w:p>
    <w:p w14:paraId="18DC2223" w14:textId="77777777" w:rsidR="00897FAF" w:rsidRDefault="00897FAF" w:rsidP="002165F6">
      <w:pPr>
        <w:spacing w:before="100" w:beforeAutospacing="1" w:after="0" w:line="240" w:lineRule="auto"/>
        <w:ind w:left="4956"/>
        <w:rPr>
          <w:rFonts w:asciiTheme="minorHAnsi" w:hAnsiTheme="minorHAnsi"/>
          <w:bCs/>
          <w:lang w:eastAsia="hr-HR"/>
        </w:rPr>
      </w:pPr>
    </w:p>
    <w:p w14:paraId="5016607F" w14:textId="77777777" w:rsidR="00791D1F" w:rsidRPr="00775DEF" w:rsidRDefault="00791D1F" w:rsidP="002165F6">
      <w:pPr>
        <w:spacing w:before="100" w:beforeAutospacing="1" w:after="0" w:line="240" w:lineRule="auto"/>
        <w:ind w:left="4956"/>
        <w:rPr>
          <w:rFonts w:asciiTheme="minorHAnsi" w:hAnsiTheme="minorHAnsi"/>
          <w:bCs/>
          <w:lang w:eastAsia="hr-HR"/>
        </w:rPr>
      </w:pPr>
    </w:p>
    <w:p w14:paraId="0580C26E" w14:textId="77777777" w:rsidR="00897FAF" w:rsidRPr="00775DEF" w:rsidRDefault="00897FAF" w:rsidP="002165F6">
      <w:pPr>
        <w:spacing w:before="100" w:beforeAutospacing="1" w:after="0" w:line="240" w:lineRule="auto"/>
        <w:ind w:left="4956"/>
        <w:rPr>
          <w:rFonts w:asciiTheme="minorHAnsi" w:hAnsiTheme="minorHAnsi"/>
          <w:bCs/>
          <w:lang w:eastAsia="hr-HR"/>
        </w:rPr>
      </w:pPr>
    </w:p>
    <w:p w14:paraId="37AFA4B8" w14:textId="77777777" w:rsidR="00732FA9" w:rsidRPr="00775DEF" w:rsidRDefault="00732FA9" w:rsidP="001E452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 w:val="32"/>
          <w:szCs w:val="32"/>
        </w:rPr>
      </w:pPr>
    </w:p>
    <w:p w14:paraId="684EE781" w14:textId="77777777" w:rsidR="00732FA9" w:rsidRPr="00775DEF" w:rsidRDefault="00732FA9" w:rsidP="001E452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 w:val="32"/>
          <w:szCs w:val="32"/>
        </w:rPr>
      </w:pPr>
    </w:p>
    <w:p w14:paraId="361436B3" w14:textId="77777777" w:rsidR="00732FA9" w:rsidRPr="00775DEF" w:rsidRDefault="00732FA9" w:rsidP="001E452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 w:val="32"/>
          <w:szCs w:val="32"/>
        </w:rPr>
      </w:pPr>
    </w:p>
    <w:p w14:paraId="40834E03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b/>
          <w:bCs/>
          <w:sz w:val="32"/>
          <w:szCs w:val="32"/>
        </w:rPr>
      </w:pPr>
      <w:r w:rsidRPr="00817D62">
        <w:rPr>
          <w:rFonts w:asciiTheme="minorHAnsi" w:eastAsiaTheme="minorHAnsi" w:hAnsiTheme="minorHAnsi"/>
          <w:b/>
          <w:bCs/>
          <w:sz w:val="32"/>
          <w:szCs w:val="32"/>
        </w:rPr>
        <w:t>OBRAZLOŽENJE PRIJEDLOGA  PRORAČUNA GRADA</w:t>
      </w:r>
    </w:p>
    <w:p w14:paraId="0854B2E4" w14:textId="7D6C4D66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b/>
          <w:bCs/>
          <w:sz w:val="32"/>
          <w:szCs w:val="32"/>
        </w:rPr>
      </w:pPr>
      <w:r w:rsidRPr="00817D62">
        <w:rPr>
          <w:rFonts w:asciiTheme="minorHAnsi" w:eastAsiaTheme="minorHAnsi" w:hAnsiTheme="minorHAnsi"/>
          <w:b/>
          <w:bCs/>
          <w:sz w:val="32"/>
          <w:szCs w:val="32"/>
        </w:rPr>
        <w:t>KAŠTELA ZA 202</w:t>
      </w:r>
      <w:r w:rsidR="006674F8">
        <w:rPr>
          <w:rFonts w:asciiTheme="minorHAnsi" w:eastAsiaTheme="minorHAnsi" w:hAnsiTheme="minorHAnsi"/>
          <w:b/>
          <w:bCs/>
          <w:sz w:val="32"/>
          <w:szCs w:val="32"/>
        </w:rPr>
        <w:t>2</w:t>
      </w:r>
      <w:r w:rsidRPr="00817D62">
        <w:rPr>
          <w:rFonts w:asciiTheme="minorHAnsi" w:eastAsiaTheme="minorHAnsi" w:hAnsiTheme="minorHAnsi"/>
          <w:b/>
          <w:bCs/>
          <w:sz w:val="32"/>
          <w:szCs w:val="32"/>
        </w:rPr>
        <w:t xml:space="preserve">. GODINU </w:t>
      </w:r>
    </w:p>
    <w:p w14:paraId="345F9A96" w14:textId="280C3494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b/>
          <w:bCs/>
          <w:sz w:val="32"/>
          <w:szCs w:val="32"/>
        </w:rPr>
      </w:pPr>
      <w:r w:rsidRPr="00817D62">
        <w:rPr>
          <w:rFonts w:asciiTheme="minorHAnsi" w:eastAsiaTheme="minorHAnsi" w:hAnsiTheme="minorHAnsi"/>
          <w:b/>
          <w:bCs/>
          <w:sz w:val="32"/>
          <w:szCs w:val="32"/>
        </w:rPr>
        <w:t>I PROJEKCIJE ZA 202</w:t>
      </w:r>
      <w:r w:rsidR="006674F8">
        <w:rPr>
          <w:rFonts w:asciiTheme="minorHAnsi" w:eastAsiaTheme="minorHAnsi" w:hAnsiTheme="minorHAnsi"/>
          <w:b/>
          <w:bCs/>
          <w:sz w:val="32"/>
          <w:szCs w:val="32"/>
        </w:rPr>
        <w:t>3</w:t>
      </w:r>
      <w:r w:rsidRPr="00817D62">
        <w:rPr>
          <w:rFonts w:asciiTheme="minorHAnsi" w:eastAsiaTheme="minorHAnsi" w:hAnsiTheme="minorHAnsi"/>
          <w:b/>
          <w:bCs/>
          <w:sz w:val="32"/>
          <w:szCs w:val="32"/>
        </w:rPr>
        <w:t>. I 202</w:t>
      </w:r>
      <w:r w:rsidR="006674F8">
        <w:rPr>
          <w:rFonts w:asciiTheme="minorHAnsi" w:eastAsiaTheme="minorHAnsi" w:hAnsiTheme="minorHAnsi"/>
          <w:b/>
          <w:bCs/>
          <w:sz w:val="32"/>
          <w:szCs w:val="32"/>
        </w:rPr>
        <w:t>4</w:t>
      </w:r>
      <w:r w:rsidRPr="00817D62">
        <w:rPr>
          <w:rFonts w:asciiTheme="minorHAnsi" w:eastAsiaTheme="minorHAnsi" w:hAnsiTheme="minorHAnsi"/>
          <w:b/>
          <w:bCs/>
          <w:sz w:val="32"/>
          <w:szCs w:val="32"/>
        </w:rPr>
        <w:t>.GODINU</w:t>
      </w:r>
    </w:p>
    <w:p w14:paraId="52BA4A74" w14:textId="77777777" w:rsidR="00817D62" w:rsidRPr="00817D62" w:rsidRDefault="00817D62" w:rsidP="00817D62">
      <w:pPr>
        <w:spacing w:before="100" w:beforeAutospacing="1" w:after="0" w:line="240" w:lineRule="auto"/>
        <w:ind w:left="4956"/>
        <w:rPr>
          <w:rFonts w:asciiTheme="minorHAnsi" w:hAnsiTheme="minorHAnsi"/>
          <w:lang w:eastAsia="hr-HR"/>
        </w:rPr>
      </w:pPr>
    </w:p>
    <w:p w14:paraId="4FC71570" w14:textId="77777777" w:rsidR="00817D62" w:rsidRPr="00817D62" w:rsidRDefault="00817D62" w:rsidP="00817D62">
      <w:pPr>
        <w:spacing w:before="100" w:beforeAutospacing="1" w:after="0" w:line="240" w:lineRule="auto"/>
        <w:ind w:left="4956"/>
        <w:rPr>
          <w:rFonts w:asciiTheme="minorHAnsi" w:hAnsiTheme="minorHAnsi"/>
          <w:lang w:eastAsia="hr-HR"/>
        </w:rPr>
      </w:pPr>
    </w:p>
    <w:p w14:paraId="238E469A" w14:textId="77777777" w:rsidR="00817D62" w:rsidRPr="00817D62" w:rsidRDefault="00817D62" w:rsidP="00817D62">
      <w:pPr>
        <w:spacing w:before="100" w:beforeAutospacing="1" w:after="0" w:line="240" w:lineRule="auto"/>
        <w:ind w:left="4956"/>
        <w:rPr>
          <w:rFonts w:asciiTheme="minorHAnsi" w:hAnsiTheme="minorHAnsi"/>
          <w:lang w:eastAsia="hr-HR"/>
        </w:rPr>
      </w:pPr>
    </w:p>
    <w:p w14:paraId="24373E6A" w14:textId="77777777" w:rsidR="00817D62" w:rsidRPr="00817D62" w:rsidRDefault="00817D62" w:rsidP="00817D62">
      <w:pPr>
        <w:spacing w:before="100" w:beforeAutospacing="1" w:after="0" w:line="240" w:lineRule="auto"/>
        <w:ind w:left="4956"/>
        <w:rPr>
          <w:rFonts w:asciiTheme="minorHAnsi" w:hAnsiTheme="minorHAnsi"/>
          <w:lang w:eastAsia="hr-HR"/>
        </w:rPr>
      </w:pPr>
    </w:p>
    <w:p w14:paraId="76623262" w14:textId="77777777" w:rsidR="00817D62" w:rsidRPr="00817D62" w:rsidRDefault="00817D62" w:rsidP="00817D62">
      <w:pPr>
        <w:spacing w:before="100" w:beforeAutospacing="1" w:after="0" w:line="240" w:lineRule="auto"/>
        <w:ind w:left="4956"/>
        <w:rPr>
          <w:rFonts w:asciiTheme="minorHAnsi" w:hAnsiTheme="minorHAnsi"/>
          <w:lang w:eastAsia="hr-HR"/>
        </w:rPr>
      </w:pPr>
    </w:p>
    <w:p w14:paraId="3033DD8D" w14:textId="77777777" w:rsidR="00817D62" w:rsidRPr="00817D62" w:rsidRDefault="00817D62" w:rsidP="00817D62">
      <w:pPr>
        <w:spacing w:before="100" w:beforeAutospacing="1" w:after="0" w:line="240" w:lineRule="auto"/>
        <w:ind w:left="4956"/>
        <w:rPr>
          <w:rFonts w:asciiTheme="minorHAnsi" w:hAnsiTheme="minorHAnsi"/>
          <w:lang w:eastAsia="hr-HR"/>
        </w:rPr>
      </w:pPr>
    </w:p>
    <w:p w14:paraId="50C73F1E" w14:textId="77777777" w:rsidR="00817D62" w:rsidRPr="00817D62" w:rsidRDefault="00817D62" w:rsidP="00817D62">
      <w:pPr>
        <w:spacing w:before="100" w:beforeAutospacing="1" w:after="0" w:line="240" w:lineRule="auto"/>
        <w:ind w:left="4956"/>
        <w:rPr>
          <w:rFonts w:asciiTheme="minorHAnsi" w:hAnsiTheme="minorHAnsi"/>
          <w:lang w:eastAsia="hr-HR"/>
        </w:rPr>
      </w:pPr>
    </w:p>
    <w:p w14:paraId="06CD3406" w14:textId="77777777" w:rsidR="00817D62" w:rsidRPr="00817D62" w:rsidRDefault="00817D62" w:rsidP="00817D62">
      <w:pPr>
        <w:spacing w:before="100" w:beforeAutospacing="1" w:after="0" w:line="240" w:lineRule="auto"/>
        <w:ind w:left="4956"/>
        <w:rPr>
          <w:rFonts w:asciiTheme="minorHAnsi" w:hAnsiTheme="minorHAnsi"/>
          <w:lang w:eastAsia="hr-HR"/>
        </w:rPr>
      </w:pPr>
    </w:p>
    <w:p w14:paraId="095180A8" w14:textId="77777777" w:rsidR="00817D62" w:rsidRPr="00817D62" w:rsidRDefault="00817D62" w:rsidP="00817D62">
      <w:pPr>
        <w:spacing w:before="100" w:beforeAutospacing="1" w:after="0" w:line="240" w:lineRule="auto"/>
        <w:jc w:val="center"/>
        <w:rPr>
          <w:rFonts w:asciiTheme="minorHAnsi" w:hAnsiTheme="minorHAnsi"/>
          <w:lang w:eastAsia="hr-HR"/>
        </w:rPr>
      </w:pPr>
    </w:p>
    <w:p w14:paraId="16C16288" w14:textId="7B2C9909" w:rsidR="00817D62" w:rsidRPr="00817D62" w:rsidRDefault="00817D62" w:rsidP="00817D62">
      <w:pPr>
        <w:spacing w:before="100" w:beforeAutospacing="1" w:after="0" w:line="240" w:lineRule="auto"/>
        <w:jc w:val="center"/>
        <w:rPr>
          <w:rFonts w:asciiTheme="minorHAnsi" w:hAnsiTheme="minorHAnsi"/>
          <w:lang w:eastAsia="hr-HR"/>
        </w:rPr>
      </w:pPr>
      <w:r w:rsidRPr="00817D62">
        <w:rPr>
          <w:rFonts w:asciiTheme="minorHAnsi" w:hAnsiTheme="minorHAnsi"/>
          <w:lang w:eastAsia="hr-HR"/>
        </w:rPr>
        <w:t xml:space="preserve">Kaštel Sućurac, </w:t>
      </w:r>
      <w:r w:rsidR="006674F8">
        <w:rPr>
          <w:rFonts w:asciiTheme="minorHAnsi" w:hAnsiTheme="minorHAnsi"/>
          <w:lang w:eastAsia="hr-HR"/>
        </w:rPr>
        <w:t>prosinac</w:t>
      </w:r>
      <w:r w:rsidRPr="00817D62">
        <w:rPr>
          <w:rFonts w:asciiTheme="minorHAnsi" w:hAnsiTheme="minorHAnsi"/>
          <w:lang w:eastAsia="hr-HR"/>
        </w:rPr>
        <w:t xml:space="preserve"> 202</w:t>
      </w:r>
      <w:r w:rsidR="006674F8">
        <w:rPr>
          <w:rFonts w:asciiTheme="minorHAnsi" w:hAnsiTheme="minorHAnsi"/>
          <w:lang w:eastAsia="hr-HR"/>
        </w:rPr>
        <w:t>1</w:t>
      </w:r>
      <w:r w:rsidRPr="00817D62">
        <w:rPr>
          <w:rFonts w:asciiTheme="minorHAnsi" w:hAnsiTheme="minorHAnsi"/>
          <w:lang w:eastAsia="hr-HR"/>
        </w:rPr>
        <w:t>.</w:t>
      </w:r>
    </w:p>
    <w:p w14:paraId="13EDC969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b/>
          <w:bCs/>
          <w:sz w:val="28"/>
          <w:szCs w:val="28"/>
        </w:rPr>
      </w:pPr>
    </w:p>
    <w:p w14:paraId="245477FE" w14:textId="77777777" w:rsidR="00732FA9" w:rsidRPr="00775DEF" w:rsidRDefault="00732FA9" w:rsidP="00891165">
      <w:pPr>
        <w:spacing w:before="100" w:beforeAutospacing="1" w:after="0" w:line="240" w:lineRule="auto"/>
        <w:jc w:val="center"/>
        <w:rPr>
          <w:rFonts w:asciiTheme="minorHAnsi" w:hAnsiTheme="minorHAnsi"/>
          <w:lang w:eastAsia="hr-HR"/>
        </w:rPr>
      </w:pPr>
    </w:p>
    <w:p w14:paraId="578C239D" w14:textId="77777777" w:rsidR="0084549F" w:rsidRDefault="0084549F" w:rsidP="00891165">
      <w:pPr>
        <w:spacing w:before="100" w:beforeAutospacing="1" w:after="0" w:line="240" w:lineRule="auto"/>
        <w:jc w:val="center"/>
        <w:rPr>
          <w:rFonts w:asciiTheme="minorHAnsi" w:hAnsiTheme="minorHAnsi"/>
          <w:lang w:eastAsia="hr-HR"/>
        </w:rPr>
      </w:pPr>
    </w:p>
    <w:p w14:paraId="363F1DCB" w14:textId="77777777" w:rsidR="00566DE7" w:rsidRPr="00775DEF" w:rsidRDefault="00566DE7" w:rsidP="00891165">
      <w:pPr>
        <w:spacing w:before="100" w:beforeAutospacing="1" w:after="0" w:line="240" w:lineRule="auto"/>
        <w:jc w:val="center"/>
        <w:rPr>
          <w:rFonts w:asciiTheme="minorHAnsi" w:hAnsiTheme="minorHAnsi"/>
          <w:lang w:eastAsia="hr-HR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val="hr-HR"/>
        </w:rPr>
        <w:id w:val="-1260945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66D3D5" w14:textId="77777777" w:rsidR="00DF30FA" w:rsidRDefault="00DF30FA" w:rsidP="002C398E">
          <w:pPr>
            <w:pStyle w:val="TOCNaslov"/>
            <w:jc w:val="center"/>
            <w:rPr>
              <w:color w:val="auto"/>
              <w:lang w:val="hr-HR"/>
            </w:rPr>
          </w:pPr>
          <w:r w:rsidRPr="00DC7F8C">
            <w:rPr>
              <w:color w:val="auto"/>
              <w:lang w:val="hr-HR"/>
            </w:rPr>
            <w:t>Sadržaj</w:t>
          </w:r>
        </w:p>
        <w:p w14:paraId="39D9591D" w14:textId="77777777" w:rsidR="00566DE7" w:rsidRPr="00566DE7" w:rsidRDefault="00566DE7" w:rsidP="00566DE7"/>
        <w:p w14:paraId="4DAF07E5" w14:textId="62AF9FEA" w:rsidR="008B4D09" w:rsidRDefault="00DF30FA">
          <w:pPr>
            <w:pStyle w:val="Sadraj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555236" w:history="1">
            <w:r w:rsidR="008B4D09" w:rsidRPr="00B27132">
              <w:rPr>
                <w:rStyle w:val="Hiperveza"/>
                <w:b/>
                <w:bCs/>
                <w:noProof/>
              </w:rPr>
              <w:t>1.</w:t>
            </w:r>
            <w:r w:rsidR="008B4D09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8B4D09" w:rsidRPr="00B27132">
              <w:rPr>
                <w:rStyle w:val="Hiperveza"/>
                <w:b/>
                <w:bCs/>
                <w:noProof/>
              </w:rPr>
              <w:t>UVOD</w:t>
            </w:r>
            <w:r w:rsidR="008B4D09">
              <w:rPr>
                <w:noProof/>
                <w:webHidden/>
              </w:rPr>
              <w:tab/>
            </w:r>
            <w:r w:rsidR="008B4D09">
              <w:rPr>
                <w:noProof/>
                <w:webHidden/>
              </w:rPr>
              <w:fldChar w:fldCharType="begin"/>
            </w:r>
            <w:r w:rsidR="008B4D09">
              <w:rPr>
                <w:noProof/>
                <w:webHidden/>
              </w:rPr>
              <w:instrText xml:space="preserve"> PAGEREF _Toc88555236 \h </w:instrText>
            </w:r>
            <w:r w:rsidR="008B4D09">
              <w:rPr>
                <w:noProof/>
                <w:webHidden/>
              </w:rPr>
            </w:r>
            <w:r w:rsidR="008B4D09">
              <w:rPr>
                <w:noProof/>
                <w:webHidden/>
              </w:rPr>
              <w:fldChar w:fldCharType="separate"/>
            </w:r>
            <w:r w:rsidR="003A5A41">
              <w:rPr>
                <w:noProof/>
                <w:webHidden/>
              </w:rPr>
              <w:t>3</w:t>
            </w:r>
            <w:r w:rsidR="008B4D09">
              <w:rPr>
                <w:noProof/>
                <w:webHidden/>
              </w:rPr>
              <w:fldChar w:fldCharType="end"/>
            </w:r>
          </w:hyperlink>
        </w:p>
        <w:p w14:paraId="4ECEB176" w14:textId="7C0CC214" w:rsidR="008B4D09" w:rsidRDefault="00000000">
          <w:pPr>
            <w:pStyle w:val="Sadraj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88555237" w:history="1">
            <w:r w:rsidR="008B4D09" w:rsidRPr="00B27132">
              <w:rPr>
                <w:rStyle w:val="Hiperveza"/>
                <w:b/>
                <w:bCs/>
                <w:noProof/>
              </w:rPr>
              <w:t>2.</w:t>
            </w:r>
            <w:r w:rsidR="008B4D09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8B4D09" w:rsidRPr="00B27132">
              <w:rPr>
                <w:rStyle w:val="Hiperveza"/>
                <w:b/>
                <w:bCs/>
                <w:noProof/>
              </w:rPr>
              <w:t>PRORAČUN ZA 2022.GODINU I PROJEKCIJE ZA 2023. I 2024.GODINU</w:t>
            </w:r>
            <w:r w:rsidR="008B4D09">
              <w:rPr>
                <w:noProof/>
                <w:webHidden/>
              </w:rPr>
              <w:tab/>
            </w:r>
            <w:r w:rsidR="008B4D09">
              <w:rPr>
                <w:noProof/>
                <w:webHidden/>
              </w:rPr>
              <w:fldChar w:fldCharType="begin"/>
            </w:r>
            <w:r w:rsidR="008B4D09">
              <w:rPr>
                <w:noProof/>
                <w:webHidden/>
              </w:rPr>
              <w:instrText xml:space="preserve"> PAGEREF _Toc88555237 \h </w:instrText>
            </w:r>
            <w:r w:rsidR="008B4D09">
              <w:rPr>
                <w:noProof/>
                <w:webHidden/>
              </w:rPr>
            </w:r>
            <w:r w:rsidR="008B4D09">
              <w:rPr>
                <w:noProof/>
                <w:webHidden/>
              </w:rPr>
              <w:fldChar w:fldCharType="separate"/>
            </w:r>
            <w:r w:rsidR="003A5A41">
              <w:rPr>
                <w:noProof/>
                <w:webHidden/>
              </w:rPr>
              <w:t>6</w:t>
            </w:r>
            <w:r w:rsidR="008B4D09">
              <w:rPr>
                <w:noProof/>
                <w:webHidden/>
              </w:rPr>
              <w:fldChar w:fldCharType="end"/>
            </w:r>
          </w:hyperlink>
        </w:p>
        <w:p w14:paraId="6A7ACA77" w14:textId="604E7399" w:rsidR="008B4D09" w:rsidRDefault="00000000">
          <w:pPr>
            <w:pStyle w:val="Sadraj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88555238" w:history="1">
            <w:r w:rsidR="008B4D09" w:rsidRPr="00B27132">
              <w:rPr>
                <w:rStyle w:val="Hiperveza"/>
                <w:noProof/>
              </w:rPr>
              <w:t>2.1. PRIHODI I PRIMICI</w:t>
            </w:r>
            <w:r w:rsidR="008B4D09">
              <w:rPr>
                <w:noProof/>
                <w:webHidden/>
              </w:rPr>
              <w:tab/>
            </w:r>
            <w:r w:rsidR="008B4D09">
              <w:rPr>
                <w:noProof/>
                <w:webHidden/>
              </w:rPr>
              <w:fldChar w:fldCharType="begin"/>
            </w:r>
            <w:r w:rsidR="008B4D09">
              <w:rPr>
                <w:noProof/>
                <w:webHidden/>
              </w:rPr>
              <w:instrText xml:space="preserve"> PAGEREF _Toc88555238 \h </w:instrText>
            </w:r>
            <w:r w:rsidR="008B4D09">
              <w:rPr>
                <w:noProof/>
                <w:webHidden/>
              </w:rPr>
            </w:r>
            <w:r w:rsidR="008B4D09">
              <w:rPr>
                <w:noProof/>
                <w:webHidden/>
              </w:rPr>
              <w:fldChar w:fldCharType="separate"/>
            </w:r>
            <w:r w:rsidR="003A5A41">
              <w:rPr>
                <w:noProof/>
                <w:webHidden/>
              </w:rPr>
              <w:t>8</w:t>
            </w:r>
            <w:r w:rsidR="008B4D09">
              <w:rPr>
                <w:noProof/>
                <w:webHidden/>
              </w:rPr>
              <w:fldChar w:fldCharType="end"/>
            </w:r>
          </w:hyperlink>
        </w:p>
        <w:p w14:paraId="03B625D4" w14:textId="1BB57BF4" w:rsidR="008B4D09" w:rsidRDefault="00000000">
          <w:pPr>
            <w:pStyle w:val="Sadraj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88555239" w:history="1">
            <w:r w:rsidR="008B4D09" w:rsidRPr="00B27132">
              <w:rPr>
                <w:rStyle w:val="Hiperveza"/>
                <w:noProof/>
                <w:lang w:bidi="hi-IN"/>
              </w:rPr>
              <w:t>2.1.1.</w:t>
            </w:r>
            <w:r w:rsidR="008B4D09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8B4D09" w:rsidRPr="00B27132">
              <w:rPr>
                <w:rStyle w:val="Hiperveza"/>
                <w:noProof/>
                <w:lang w:bidi="hi-IN"/>
              </w:rPr>
              <w:t>PRIHODI I PRIMICI PO IZVORIMA</w:t>
            </w:r>
            <w:r w:rsidR="008B4D09">
              <w:rPr>
                <w:noProof/>
                <w:webHidden/>
              </w:rPr>
              <w:tab/>
            </w:r>
            <w:r w:rsidR="008B4D09">
              <w:rPr>
                <w:noProof/>
                <w:webHidden/>
              </w:rPr>
              <w:fldChar w:fldCharType="begin"/>
            </w:r>
            <w:r w:rsidR="008B4D09">
              <w:rPr>
                <w:noProof/>
                <w:webHidden/>
              </w:rPr>
              <w:instrText xml:space="preserve"> PAGEREF _Toc88555239 \h </w:instrText>
            </w:r>
            <w:r w:rsidR="008B4D09">
              <w:rPr>
                <w:noProof/>
                <w:webHidden/>
              </w:rPr>
            </w:r>
            <w:r w:rsidR="008B4D09">
              <w:rPr>
                <w:noProof/>
                <w:webHidden/>
              </w:rPr>
              <w:fldChar w:fldCharType="separate"/>
            </w:r>
            <w:r w:rsidR="003A5A41">
              <w:rPr>
                <w:noProof/>
                <w:webHidden/>
              </w:rPr>
              <w:t>12</w:t>
            </w:r>
            <w:r w:rsidR="008B4D09">
              <w:rPr>
                <w:noProof/>
                <w:webHidden/>
              </w:rPr>
              <w:fldChar w:fldCharType="end"/>
            </w:r>
          </w:hyperlink>
        </w:p>
        <w:p w14:paraId="7DD5ED62" w14:textId="4F612BCD" w:rsidR="008B4D09" w:rsidRDefault="00000000">
          <w:pPr>
            <w:pStyle w:val="Sadraj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88555240" w:history="1">
            <w:r w:rsidR="008B4D09" w:rsidRPr="00B27132">
              <w:rPr>
                <w:rStyle w:val="Hiperveza"/>
                <w:noProof/>
              </w:rPr>
              <w:t>2.2.</w:t>
            </w:r>
            <w:r w:rsidR="008B4D09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8B4D09" w:rsidRPr="00B27132">
              <w:rPr>
                <w:rStyle w:val="Hiperveza"/>
                <w:noProof/>
              </w:rPr>
              <w:t>RASHODI I IZDACI</w:t>
            </w:r>
            <w:r w:rsidR="008B4D09">
              <w:rPr>
                <w:noProof/>
                <w:webHidden/>
              </w:rPr>
              <w:tab/>
            </w:r>
            <w:r w:rsidR="008B4D09">
              <w:rPr>
                <w:noProof/>
                <w:webHidden/>
              </w:rPr>
              <w:fldChar w:fldCharType="begin"/>
            </w:r>
            <w:r w:rsidR="008B4D09">
              <w:rPr>
                <w:noProof/>
                <w:webHidden/>
              </w:rPr>
              <w:instrText xml:space="preserve"> PAGEREF _Toc88555240 \h </w:instrText>
            </w:r>
            <w:r w:rsidR="008B4D09">
              <w:rPr>
                <w:noProof/>
                <w:webHidden/>
              </w:rPr>
            </w:r>
            <w:r w:rsidR="008B4D09">
              <w:rPr>
                <w:noProof/>
                <w:webHidden/>
              </w:rPr>
              <w:fldChar w:fldCharType="separate"/>
            </w:r>
            <w:r w:rsidR="003A5A41">
              <w:rPr>
                <w:noProof/>
                <w:webHidden/>
              </w:rPr>
              <w:t>13</w:t>
            </w:r>
            <w:r w:rsidR="008B4D09">
              <w:rPr>
                <w:noProof/>
                <w:webHidden/>
              </w:rPr>
              <w:fldChar w:fldCharType="end"/>
            </w:r>
          </w:hyperlink>
        </w:p>
        <w:p w14:paraId="1300D1B9" w14:textId="17DBEDA4" w:rsidR="008B4D09" w:rsidRDefault="00000000">
          <w:pPr>
            <w:pStyle w:val="Sadraj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88555241" w:history="1">
            <w:r w:rsidR="008B4D09" w:rsidRPr="00B27132">
              <w:rPr>
                <w:rStyle w:val="Hiperveza"/>
                <w:noProof/>
                <w:lang w:bidi="hi-IN"/>
              </w:rPr>
              <w:t>2.2.1.</w:t>
            </w:r>
            <w:r w:rsidR="008B4D09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8B4D09" w:rsidRPr="00B27132">
              <w:rPr>
                <w:rStyle w:val="Hiperveza"/>
                <w:noProof/>
                <w:lang w:bidi="hi-IN"/>
              </w:rPr>
              <w:t>RASHODI PO IZVORIMA FINANCIRANJA</w:t>
            </w:r>
            <w:r w:rsidR="008B4D09">
              <w:rPr>
                <w:noProof/>
                <w:webHidden/>
              </w:rPr>
              <w:tab/>
            </w:r>
            <w:r w:rsidR="008B4D09">
              <w:rPr>
                <w:noProof/>
                <w:webHidden/>
              </w:rPr>
              <w:fldChar w:fldCharType="begin"/>
            </w:r>
            <w:r w:rsidR="008B4D09">
              <w:rPr>
                <w:noProof/>
                <w:webHidden/>
              </w:rPr>
              <w:instrText xml:space="preserve"> PAGEREF _Toc88555241 \h </w:instrText>
            </w:r>
            <w:r w:rsidR="008B4D09">
              <w:rPr>
                <w:noProof/>
                <w:webHidden/>
              </w:rPr>
            </w:r>
            <w:r w:rsidR="008B4D09">
              <w:rPr>
                <w:noProof/>
                <w:webHidden/>
              </w:rPr>
              <w:fldChar w:fldCharType="separate"/>
            </w:r>
            <w:r w:rsidR="003A5A41">
              <w:rPr>
                <w:noProof/>
                <w:webHidden/>
              </w:rPr>
              <w:t>16</w:t>
            </w:r>
            <w:r w:rsidR="008B4D09">
              <w:rPr>
                <w:noProof/>
                <w:webHidden/>
              </w:rPr>
              <w:fldChar w:fldCharType="end"/>
            </w:r>
          </w:hyperlink>
        </w:p>
        <w:p w14:paraId="217A6945" w14:textId="6E64D843" w:rsidR="008B4D09" w:rsidRDefault="00000000">
          <w:pPr>
            <w:pStyle w:val="Sadraj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88555242" w:history="1">
            <w:r w:rsidR="008B4D09" w:rsidRPr="00B27132">
              <w:rPr>
                <w:rStyle w:val="Hiperveza"/>
                <w:noProof/>
                <w:lang w:bidi="hi-IN"/>
              </w:rPr>
              <w:t>2.2.2.</w:t>
            </w:r>
            <w:r w:rsidR="008B4D09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8B4D09" w:rsidRPr="00B27132">
              <w:rPr>
                <w:rStyle w:val="Hiperveza"/>
                <w:noProof/>
                <w:lang w:bidi="hi-IN"/>
              </w:rPr>
              <w:t>RASHODI PO FUNKCIJSKOJ KLASIFIKACIJI</w:t>
            </w:r>
            <w:r w:rsidR="008B4D09">
              <w:rPr>
                <w:noProof/>
                <w:webHidden/>
              </w:rPr>
              <w:tab/>
            </w:r>
            <w:r w:rsidR="008B4D09">
              <w:rPr>
                <w:noProof/>
                <w:webHidden/>
              </w:rPr>
              <w:fldChar w:fldCharType="begin"/>
            </w:r>
            <w:r w:rsidR="008B4D09">
              <w:rPr>
                <w:noProof/>
                <w:webHidden/>
              </w:rPr>
              <w:instrText xml:space="preserve"> PAGEREF _Toc88555242 \h </w:instrText>
            </w:r>
            <w:r w:rsidR="008B4D09">
              <w:rPr>
                <w:noProof/>
                <w:webHidden/>
              </w:rPr>
            </w:r>
            <w:r w:rsidR="008B4D09">
              <w:rPr>
                <w:noProof/>
                <w:webHidden/>
              </w:rPr>
              <w:fldChar w:fldCharType="separate"/>
            </w:r>
            <w:r w:rsidR="003A5A41">
              <w:rPr>
                <w:noProof/>
                <w:webHidden/>
              </w:rPr>
              <w:t>17</w:t>
            </w:r>
            <w:r w:rsidR="008B4D09">
              <w:rPr>
                <w:noProof/>
                <w:webHidden/>
              </w:rPr>
              <w:fldChar w:fldCharType="end"/>
            </w:r>
          </w:hyperlink>
        </w:p>
        <w:p w14:paraId="70254558" w14:textId="247FB8D1" w:rsidR="008B4D09" w:rsidRDefault="00000000">
          <w:pPr>
            <w:pStyle w:val="Sadraj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88555243" w:history="1">
            <w:r w:rsidR="008B4D09" w:rsidRPr="00B27132">
              <w:rPr>
                <w:rStyle w:val="Hiperveza"/>
                <w:noProof/>
                <w:lang w:bidi="hi-IN"/>
              </w:rPr>
              <w:t>2.2.3.</w:t>
            </w:r>
            <w:r w:rsidR="008B4D09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8B4D09" w:rsidRPr="00B27132">
              <w:rPr>
                <w:rStyle w:val="Hiperveza"/>
                <w:noProof/>
                <w:lang w:bidi="hi-IN"/>
              </w:rPr>
              <w:t>RASHODI PO ORGANIZACIJSKOJ KLASIFIKACIJI</w:t>
            </w:r>
            <w:r w:rsidR="008B4D09">
              <w:rPr>
                <w:noProof/>
                <w:webHidden/>
              </w:rPr>
              <w:tab/>
            </w:r>
            <w:r w:rsidR="008B4D09">
              <w:rPr>
                <w:noProof/>
                <w:webHidden/>
              </w:rPr>
              <w:fldChar w:fldCharType="begin"/>
            </w:r>
            <w:r w:rsidR="008B4D09">
              <w:rPr>
                <w:noProof/>
                <w:webHidden/>
              </w:rPr>
              <w:instrText xml:space="preserve"> PAGEREF _Toc88555243 \h </w:instrText>
            </w:r>
            <w:r w:rsidR="008B4D09">
              <w:rPr>
                <w:noProof/>
                <w:webHidden/>
              </w:rPr>
            </w:r>
            <w:r w:rsidR="008B4D09">
              <w:rPr>
                <w:noProof/>
                <w:webHidden/>
              </w:rPr>
              <w:fldChar w:fldCharType="separate"/>
            </w:r>
            <w:r w:rsidR="003A5A41">
              <w:rPr>
                <w:noProof/>
                <w:webHidden/>
              </w:rPr>
              <w:t>19</w:t>
            </w:r>
            <w:r w:rsidR="008B4D09">
              <w:rPr>
                <w:noProof/>
                <w:webHidden/>
              </w:rPr>
              <w:fldChar w:fldCharType="end"/>
            </w:r>
          </w:hyperlink>
        </w:p>
        <w:p w14:paraId="60E23388" w14:textId="414D43AE" w:rsidR="008B4D09" w:rsidRDefault="00000000">
          <w:pPr>
            <w:pStyle w:val="Sadraj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88555244" w:history="1">
            <w:r w:rsidR="008B4D09" w:rsidRPr="00B27132">
              <w:rPr>
                <w:rStyle w:val="Hiperveza"/>
                <w:b/>
                <w:bCs/>
                <w:noProof/>
              </w:rPr>
              <w:t>3.</w:t>
            </w:r>
            <w:r w:rsidR="008B4D09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8B4D09" w:rsidRPr="00B27132">
              <w:rPr>
                <w:rStyle w:val="Hiperveza"/>
                <w:b/>
                <w:bCs/>
                <w:noProof/>
              </w:rPr>
              <w:t>OBRAZLOŽENJE POJEDINIH VRSTA PRIHODA/RASHODA</w:t>
            </w:r>
            <w:r w:rsidR="008B4D09">
              <w:rPr>
                <w:noProof/>
                <w:webHidden/>
              </w:rPr>
              <w:tab/>
            </w:r>
            <w:r w:rsidR="008B4D09">
              <w:rPr>
                <w:noProof/>
                <w:webHidden/>
              </w:rPr>
              <w:fldChar w:fldCharType="begin"/>
            </w:r>
            <w:r w:rsidR="008B4D09">
              <w:rPr>
                <w:noProof/>
                <w:webHidden/>
              </w:rPr>
              <w:instrText xml:space="preserve"> PAGEREF _Toc88555244 \h </w:instrText>
            </w:r>
            <w:r w:rsidR="008B4D09">
              <w:rPr>
                <w:noProof/>
                <w:webHidden/>
              </w:rPr>
            </w:r>
            <w:r w:rsidR="008B4D09">
              <w:rPr>
                <w:noProof/>
                <w:webHidden/>
              </w:rPr>
              <w:fldChar w:fldCharType="separate"/>
            </w:r>
            <w:r w:rsidR="003A5A41">
              <w:rPr>
                <w:noProof/>
                <w:webHidden/>
              </w:rPr>
              <w:t>27</w:t>
            </w:r>
            <w:r w:rsidR="008B4D09">
              <w:rPr>
                <w:noProof/>
                <w:webHidden/>
              </w:rPr>
              <w:fldChar w:fldCharType="end"/>
            </w:r>
          </w:hyperlink>
        </w:p>
        <w:p w14:paraId="60DFDE44" w14:textId="0CFD12D6" w:rsidR="008B4D09" w:rsidRDefault="00000000">
          <w:pPr>
            <w:pStyle w:val="Sadraj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88555245" w:history="1">
            <w:r w:rsidR="008B4D09" w:rsidRPr="00B27132">
              <w:rPr>
                <w:rStyle w:val="Hiperveza"/>
                <w:noProof/>
              </w:rPr>
              <w:t>3.1. PRIHODI I PRIMICI</w:t>
            </w:r>
            <w:r w:rsidR="008B4D09">
              <w:rPr>
                <w:noProof/>
                <w:webHidden/>
              </w:rPr>
              <w:tab/>
            </w:r>
            <w:r w:rsidR="008B4D09">
              <w:rPr>
                <w:noProof/>
                <w:webHidden/>
              </w:rPr>
              <w:fldChar w:fldCharType="begin"/>
            </w:r>
            <w:r w:rsidR="008B4D09">
              <w:rPr>
                <w:noProof/>
                <w:webHidden/>
              </w:rPr>
              <w:instrText xml:space="preserve"> PAGEREF _Toc88555245 \h </w:instrText>
            </w:r>
            <w:r w:rsidR="008B4D09">
              <w:rPr>
                <w:noProof/>
                <w:webHidden/>
              </w:rPr>
            </w:r>
            <w:r w:rsidR="008B4D09">
              <w:rPr>
                <w:noProof/>
                <w:webHidden/>
              </w:rPr>
              <w:fldChar w:fldCharType="separate"/>
            </w:r>
            <w:r w:rsidR="003A5A41">
              <w:rPr>
                <w:noProof/>
                <w:webHidden/>
              </w:rPr>
              <w:t>27</w:t>
            </w:r>
            <w:r w:rsidR="008B4D09">
              <w:rPr>
                <w:noProof/>
                <w:webHidden/>
              </w:rPr>
              <w:fldChar w:fldCharType="end"/>
            </w:r>
          </w:hyperlink>
        </w:p>
        <w:p w14:paraId="075ECC32" w14:textId="18B33093" w:rsidR="008B4D09" w:rsidRDefault="00000000">
          <w:pPr>
            <w:pStyle w:val="Sadraj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88555246" w:history="1">
            <w:r w:rsidR="008B4D09" w:rsidRPr="00B27132">
              <w:rPr>
                <w:rStyle w:val="Hiperveza"/>
                <w:noProof/>
              </w:rPr>
              <w:t>3.2. RASHODI I IZDACI</w:t>
            </w:r>
            <w:r w:rsidR="008B4D09">
              <w:rPr>
                <w:noProof/>
                <w:webHidden/>
              </w:rPr>
              <w:tab/>
            </w:r>
            <w:r w:rsidR="008B4D09">
              <w:rPr>
                <w:noProof/>
                <w:webHidden/>
              </w:rPr>
              <w:fldChar w:fldCharType="begin"/>
            </w:r>
            <w:r w:rsidR="008B4D09">
              <w:rPr>
                <w:noProof/>
                <w:webHidden/>
              </w:rPr>
              <w:instrText xml:space="preserve"> PAGEREF _Toc88555246 \h </w:instrText>
            </w:r>
            <w:r w:rsidR="008B4D09">
              <w:rPr>
                <w:noProof/>
                <w:webHidden/>
              </w:rPr>
            </w:r>
            <w:r w:rsidR="008B4D09">
              <w:rPr>
                <w:noProof/>
                <w:webHidden/>
              </w:rPr>
              <w:fldChar w:fldCharType="separate"/>
            </w:r>
            <w:r w:rsidR="003A5A41">
              <w:rPr>
                <w:noProof/>
                <w:webHidden/>
              </w:rPr>
              <w:t>32</w:t>
            </w:r>
            <w:r w:rsidR="008B4D09">
              <w:rPr>
                <w:noProof/>
                <w:webHidden/>
              </w:rPr>
              <w:fldChar w:fldCharType="end"/>
            </w:r>
          </w:hyperlink>
        </w:p>
        <w:p w14:paraId="053B6734" w14:textId="5ACC4672" w:rsidR="00DF30FA" w:rsidRDefault="00DF30FA">
          <w:r>
            <w:rPr>
              <w:b/>
              <w:bCs/>
            </w:rPr>
            <w:fldChar w:fldCharType="end"/>
          </w:r>
        </w:p>
      </w:sdtContent>
    </w:sdt>
    <w:p w14:paraId="52F2F282" w14:textId="77777777" w:rsidR="0011728F" w:rsidRDefault="0011728F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4D4E3D0B" w14:textId="77777777" w:rsidR="00D8261A" w:rsidRDefault="00D8261A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4D88A457" w14:textId="77777777" w:rsidR="00D8261A" w:rsidRDefault="00D8261A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0E15732D" w14:textId="77777777" w:rsidR="00CC7BE9" w:rsidRDefault="00CC7BE9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67F04975" w14:textId="77777777" w:rsidR="00CC7BE9" w:rsidRDefault="00CC7BE9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083EEB9E" w14:textId="77777777" w:rsidR="00CC7BE9" w:rsidRDefault="00CC7BE9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70E1C544" w14:textId="77777777" w:rsidR="00CC7BE9" w:rsidRDefault="00CC7BE9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2059BCBD" w14:textId="77777777" w:rsidR="00CC7BE9" w:rsidRDefault="00CC7BE9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2DAA5C07" w14:textId="77777777" w:rsidR="00CC7BE9" w:rsidRDefault="00CC7BE9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7B994950" w14:textId="77777777" w:rsidR="00CC7BE9" w:rsidRDefault="00CC7BE9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429E7AEC" w14:textId="77777777" w:rsidR="00CC7BE9" w:rsidRDefault="00CC7BE9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54DE891F" w14:textId="77777777" w:rsidR="00CC7BE9" w:rsidRDefault="00CC7BE9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783F5ED9" w14:textId="77777777" w:rsidR="00CC7BE9" w:rsidRDefault="00CC7BE9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32269CF3" w14:textId="77777777" w:rsidR="00CC7BE9" w:rsidRDefault="00CC7BE9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0E5FE255" w14:textId="77777777" w:rsidR="00CC7BE9" w:rsidRDefault="00CC7BE9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0F7A985F" w14:textId="77777777" w:rsidR="00CC7BE9" w:rsidRDefault="00CC7BE9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6D341E8B" w14:textId="77777777" w:rsidR="00CC7BE9" w:rsidRDefault="00CC7BE9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0384B6E2" w14:textId="77777777" w:rsidR="00CC7BE9" w:rsidRDefault="00CC7BE9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15689D4C" w14:textId="77777777" w:rsidR="00D8261A" w:rsidRDefault="00D8261A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696731FE" w14:textId="77777777" w:rsidR="00D8261A" w:rsidRDefault="00D8261A" w:rsidP="00C75BD1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36F5BEC2" w14:textId="77777777" w:rsidR="00D8261A" w:rsidRPr="00D8261A" w:rsidRDefault="00D8261A" w:rsidP="00D8261A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bookmarkStart w:id="2" w:name="_Hlk55819860"/>
      <w:r w:rsidRPr="00D8261A">
        <w:rPr>
          <w:rFonts w:asciiTheme="minorHAnsi" w:hAnsiTheme="minorHAnsi"/>
          <w:b/>
          <w:sz w:val="32"/>
          <w:szCs w:val="32"/>
        </w:rPr>
        <w:t>OBRAZLOŽENJE PRIJEDLOGA PRORAČUNA</w:t>
      </w:r>
    </w:p>
    <w:p w14:paraId="0CA3D805" w14:textId="5B02E403" w:rsidR="00D8261A" w:rsidRPr="00D8261A" w:rsidRDefault="00D8261A" w:rsidP="00D8261A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r w:rsidRPr="00D8261A">
        <w:rPr>
          <w:rFonts w:asciiTheme="minorHAnsi" w:hAnsiTheme="minorHAnsi"/>
          <w:b/>
          <w:sz w:val="32"/>
          <w:szCs w:val="32"/>
        </w:rPr>
        <w:t>GRADA KAŠTELA ZA 202</w:t>
      </w:r>
      <w:r w:rsidR="006674F8">
        <w:rPr>
          <w:rFonts w:asciiTheme="minorHAnsi" w:hAnsiTheme="minorHAnsi"/>
          <w:b/>
          <w:sz w:val="32"/>
          <w:szCs w:val="32"/>
        </w:rPr>
        <w:t>2</w:t>
      </w:r>
      <w:r w:rsidRPr="00D8261A">
        <w:rPr>
          <w:rFonts w:asciiTheme="minorHAnsi" w:hAnsiTheme="minorHAnsi"/>
          <w:b/>
          <w:sz w:val="32"/>
          <w:szCs w:val="32"/>
        </w:rPr>
        <w:t xml:space="preserve">. GODINU </w:t>
      </w:r>
    </w:p>
    <w:p w14:paraId="04A2EC7F" w14:textId="063FFBDC" w:rsidR="00732FA9" w:rsidRPr="00775DEF" w:rsidRDefault="00D8261A" w:rsidP="00D8261A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r w:rsidRPr="00D8261A">
        <w:rPr>
          <w:rFonts w:asciiTheme="minorHAnsi" w:hAnsiTheme="minorHAnsi"/>
          <w:b/>
          <w:sz w:val="32"/>
          <w:szCs w:val="32"/>
        </w:rPr>
        <w:t>SA PROJEKCIJAMA ZA 202</w:t>
      </w:r>
      <w:r w:rsidR="006674F8">
        <w:rPr>
          <w:rFonts w:asciiTheme="minorHAnsi" w:hAnsiTheme="minorHAnsi"/>
          <w:b/>
          <w:sz w:val="32"/>
          <w:szCs w:val="32"/>
        </w:rPr>
        <w:t>3</w:t>
      </w:r>
      <w:r w:rsidRPr="00D8261A">
        <w:rPr>
          <w:rFonts w:asciiTheme="minorHAnsi" w:hAnsiTheme="minorHAnsi"/>
          <w:b/>
          <w:sz w:val="32"/>
          <w:szCs w:val="32"/>
        </w:rPr>
        <w:t>-202</w:t>
      </w:r>
      <w:r w:rsidR="006674F8">
        <w:rPr>
          <w:rFonts w:asciiTheme="minorHAnsi" w:hAnsiTheme="minorHAnsi"/>
          <w:b/>
          <w:sz w:val="32"/>
          <w:szCs w:val="32"/>
        </w:rPr>
        <w:t>4</w:t>
      </w:r>
      <w:r w:rsidRPr="00D8261A">
        <w:rPr>
          <w:rFonts w:asciiTheme="minorHAnsi" w:hAnsiTheme="minorHAnsi"/>
          <w:b/>
          <w:sz w:val="32"/>
          <w:szCs w:val="32"/>
        </w:rPr>
        <w:t>.</w:t>
      </w:r>
    </w:p>
    <w:p w14:paraId="79576BD8" w14:textId="77777777" w:rsidR="00732FA9" w:rsidRPr="00775DEF" w:rsidRDefault="00732FA9" w:rsidP="001C5656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29D14803" w14:textId="77777777" w:rsidR="00732FA9" w:rsidRPr="00911CAD" w:rsidRDefault="00732FA9" w:rsidP="0069710B">
      <w:pPr>
        <w:pStyle w:val="Naslov1"/>
        <w:numPr>
          <w:ilvl w:val="0"/>
          <w:numId w:val="2"/>
        </w:numPr>
        <w:rPr>
          <w:b/>
          <w:bCs/>
          <w:color w:val="auto"/>
          <w:sz w:val="28"/>
          <w:szCs w:val="28"/>
        </w:rPr>
      </w:pPr>
      <w:bookmarkStart w:id="3" w:name="_Toc36462879"/>
      <w:bookmarkStart w:id="4" w:name="_Toc36538781"/>
      <w:bookmarkStart w:id="5" w:name="_Toc36538884"/>
      <w:bookmarkStart w:id="6" w:name="_Toc88555236"/>
      <w:bookmarkEnd w:id="2"/>
      <w:r w:rsidRPr="00911CAD">
        <w:rPr>
          <w:b/>
          <w:bCs/>
          <w:color w:val="auto"/>
          <w:sz w:val="28"/>
          <w:szCs w:val="28"/>
        </w:rPr>
        <w:t>UVOD</w:t>
      </w:r>
      <w:bookmarkEnd w:id="3"/>
      <w:bookmarkEnd w:id="4"/>
      <w:bookmarkEnd w:id="5"/>
      <w:bookmarkEnd w:id="6"/>
    </w:p>
    <w:p w14:paraId="5CC46F62" w14:textId="77777777" w:rsidR="00817D62" w:rsidRDefault="00817D62" w:rsidP="009F4CC5">
      <w:pPr>
        <w:suppressAutoHyphens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76F1E9B3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 w:cstheme="minorBidi"/>
          <w:sz w:val="24"/>
          <w:szCs w:val="24"/>
        </w:rPr>
        <w:t>Gradski proračun je temeljni financijski dokument nekog grada, godišnji financijski plan koji, osim planiranih prihoda koji se očekuju tijekom godine, sadrži i planiranu raspodjelu tih sredstava za sve aktivnosti gradske uprave vezane uz funkcioniranje, održavanje i unapređenje života građana u gradu.</w:t>
      </w:r>
    </w:p>
    <w:p w14:paraId="399F75D5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</w:p>
    <w:p w14:paraId="35784552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Sukladno odredbama Zakona o proračunu (NN 87/08, 136/12 i 15/15) predstavničko tijelo jedinice lokalne i područne (regionalne) samouprave obvezno je do kraja tekuće godine donijeti proračun za iduću, kao i projekciju proračuna za sljedeće dvije proračunske godine. </w:t>
      </w:r>
    </w:p>
    <w:p w14:paraId="62082591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</w:p>
    <w:p w14:paraId="6D961027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Metodologija izrade proračuna propisana je Zakonom o proračunu i podzakonskim aktima – Pravilnikom o proračunskim klasifikacijama (NN 26/10; 120/13.) i Pravilnikom o proračunskom računovodstvu i računskom planu (NN 124/14, 115/15, 87/16 i 3/18). </w:t>
      </w:r>
    </w:p>
    <w:p w14:paraId="30F69843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</w:p>
    <w:p w14:paraId="7F3C11FC" w14:textId="70BD022C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Temeljem navedenog, proračun za 202</w:t>
      </w:r>
      <w:r w:rsidR="006674F8">
        <w:rPr>
          <w:rFonts w:asciiTheme="minorHAnsi" w:eastAsiaTheme="minorHAnsi" w:hAnsiTheme="minorHAnsi"/>
          <w:color w:val="000000"/>
          <w:sz w:val="24"/>
          <w:szCs w:val="24"/>
        </w:rPr>
        <w:t>2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. godinu donosi se na razini podskupine računa (treća razina računskog plana), dok se projekcija za 202</w:t>
      </w:r>
      <w:r w:rsidR="006674F8">
        <w:rPr>
          <w:rFonts w:asciiTheme="minorHAnsi" w:eastAsiaTheme="minorHAnsi" w:hAnsiTheme="minorHAnsi"/>
          <w:color w:val="000000"/>
          <w:sz w:val="24"/>
          <w:szCs w:val="24"/>
        </w:rPr>
        <w:t>3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. i 202</w:t>
      </w:r>
      <w:r w:rsidR="006674F8">
        <w:rPr>
          <w:rFonts w:asciiTheme="minorHAnsi" w:eastAsiaTheme="minorHAnsi" w:hAnsiTheme="minorHAnsi"/>
          <w:color w:val="000000"/>
          <w:sz w:val="24"/>
          <w:szCs w:val="24"/>
        </w:rPr>
        <w:t>4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. godinu donosi na razini skupine (druga razina računskog plana). Ova, zakonom propisana, manje detaljna razina prikazivanja planskih podataka opravdava se većom mogućom fleksibilnošću u izvršavanju proračuna. </w:t>
      </w:r>
    </w:p>
    <w:p w14:paraId="3E8AF3F9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</w:p>
    <w:p w14:paraId="73BE6202" w14:textId="71A6663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Na osnovu Zakona o proračunu objavljen je i Pravilnik o proračunskim klasifikacijama („Narodne novine“ broj 26/10; 120/13.) koji propisuje vrste, sadržaj i primjenu proračunskih klasifikacija koje su obavezne za proračun, a primjenjuje se u procesu planiranja za </w:t>
      </w:r>
      <w:r w:rsidRPr="00DA5563">
        <w:rPr>
          <w:rFonts w:asciiTheme="minorHAnsi" w:eastAsiaTheme="minorHAnsi" w:hAnsiTheme="minorHAnsi"/>
          <w:color w:val="000000"/>
          <w:sz w:val="24"/>
          <w:szCs w:val="24"/>
        </w:rPr>
        <w:t>razdoblje 202</w:t>
      </w:r>
      <w:r w:rsidR="00DA5563" w:rsidRPr="00DA5563">
        <w:rPr>
          <w:rFonts w:asciiTheme="minorHAnsi" w:eastAsiaTheme="minorHAnsi" w:hAnsiTheme="minorHAnsi"/>
          <w:color w:val="000000"/>
          <w:sz w:val="24"/>
          <w:szCs w:val="24"/>
        </w:rPr>
        <w:t>2</w:t>
      </w:r>
      <w:r w:rsidRPr="00DA5563">
        <w:rPr>
          <w:rFonts w:asciiTheme="minorHAnsi" w:eastAsiaTheme="minorHAnsi" w:hAnsiTheme="minorHAnsi"/>
          <w:color w:val="000000"/>
          <w:sz w:val="24"/>
          <w:szCs w:val="24"/>
        </w:rPr>
        <w:t>.-202</w:t>
      </w:r>
      <w:r w:rsidR="00DA5563" w:rsidRPr="00DA5563">
        <w:rPr>
          <w:rFonts w:asciiTheme="minorHAnsi" w:eastAsiaTheme="minorHAnsi" w:hAnsiTheme="minorHAnsi"/>
          <w:color w:val="000000"/>
          <w:sz w:val="24"/>
          <w:szCs w:val="24"/>
        </w:rPr>
        <w:t>4</w:t>
      </w:r>
      <w:r w:rsidRPr="00DA5563">
        <w:rPr>
          <w:rFonts w:asciiTheme="minorHAnsi" w:eastAsiaTheme="minorHAnsi" w:hAnsiTheme="minorHAnsi"/>
          <w:color w:val="000000"/>
          <w:sz w:val="24"/>
          <w:szCs w:val="24"/>
        </w:rPr>
        <w:t>.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 godine. Pravilnikom se definira okvir kojim se iskazuje i sustavno prate prihodi i primici, te rashodi i izdaci po nositelju, cilju, namjeni, vrsti, lokaciji i izvoru financiranja. Također se propisuje i struktura brojčanih oznaka i naziva svake klasifikacije. </w:t>
      </w:r>
    </w:p>
    <w:p w14:paraId="69C2DCA9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</w:p>
    <w:p w14:paraId="73983BFF" w14:textId="43F9F012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Budući da Pravilnik o proračunskim klasifikacijama naglašava uspostavu organizacijske klasifikacije koja sadržava povezane i međusobno usklađene cjeline proračuna i proračunskih korisnika koje </w:t>
      </w:r>
      <w:r w:rsidRPr="00DA5563">
        <w:rPr>
          <w:rFonts w:asciiTheme="minorHAnsi" w:eastAsiaTheme="minorHAnsi" w:hAnsiTheme="minorHAnsi"/>
          <w:color w:val="000000"/>
          <w:sz w:val="24"/>
          <w:szCs w:val="24"/>
        </w:rPr>
        <w:t>odgovarajućim materijalnim sredstvima ostvaruju postavljene ciljeve, pri planiranju proračuna za 202</w:t>
      </w:r>
      <w:r w:rsidR="00DA5563" w:rsidRPr="00DA5563">
        <w:rPr>
          <w:rFonts w:asciiTheme="minorHAnsi" w:eastAsiaTheme="minorHAnsi" w:hAnsiTheme="minorHAnsi"/>
          <w:color w:val="000000"/>
          <w:sz w:val="24"/>
          <w:szCs w:val="24"/>
        </w:rPr>
        <w:t>2</w:t>
      </w:r>
      <w:r w:rsidRPr="00DA5563">
        <w:rPr>
          <w:rFonts w:asciiTheme="minorHAnsi" w:eastAsiaTheme="minorHAnsi" w:hAnsiTheme="minorHAnsi"/>
          <w:color w:val="000000"/>
          <w:sz w:val="24"/>
          <w:szCs w:val="24"/>
        </w:rPr>
        <w:t>.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 godinu svi proračunski korisnici našeg proračuna dobili su svoju oznake glave koja određuje pripadnost pojedinom upravnom odjelu koji ima status razdjela. </w:t>
      </w:r>
    </w:p>
    <w:p w14:paraId="3242A876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Programska klasifikacija uspostavlja se definiranjem pojedinih programa, projekata i aktivnosti za sve upravne odjele i njihove proračunske korisnike. Na taj način prikazujemo sve rashode pojedinih projekata i aktivnosti kojima se ostvaruju ciljevi pojedinog programa, tako da se i u proračunu koji se donosi na trećoj razini ekonomske klasifikacije omogućuje uvid u sve aktivnosti i projekte pojedinog odjela. </w:t>
      </w:r>
    </w:p>
    <w:p w14:paraId="42459667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Naglasak se stavlja na planiranje </w:t>
      </w:r>
      <w:r w:rsidRPr="00817D62">
        <w:rPr>
          <w:rFonts w:asciiTheme="minorHAnsi" w:eastAsiaTheme="minorHAnsi" w:hAnsiTheme="minorHAnsi"/>
          <w:b/>
          <w:bCs/>
          <w:color w:val="000000"/>
          <w:sz w:val="24"/>
          <w:szCs w:val="24"/>
        </w:rPr>
        <w:t xml:space="preserve">po programima 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(a unutar njih po aktivnostima i projektima) a ne na vrstu i visinu pojedinačnog troška u okviru nekog programa (planiranog na nekom nižem nivou).</w:t>
      </w:r>
    </w:p>
    <w:p w14:paraId="02A7B79A" w14:textId="3005A57A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lastRenderedPageBreak/>
        <w:t>Upravni odjel za proračun , financije i javnu nabavu izradio je Upute za izradu Proračuna Grada Kaštela za razdoblje od 202</w:t>
      </w:r>
      <w:r w:rsidR="00E26887">
        <w:rPr>
          <w:rFonts w:asciiTheme="minorHAnsi" w:eastAsiaTheme="minorHAnsi" w:hAnsiTheme="minorHAnsi"/>
          <w:color w:val="000000"/>
          <w:sz w:val="24"/>
          <w:szCs w:val="24"/>
        </w:rPr>
        <w:t>2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. do 202</w:t>
      </w:r>
      <w:r w:rsidR="00E26887">
        <w:rPr>
          <w:rFonts w:asciiTheme="minorHAnsi" w:eastAsiaTheme="minorHAnsi" w:hAnsiTheme="minorHAnsi"/>
          <w:color w:val="000000"/>
          <w:sz w:val="24"/>
          <w:szCs w:val="24"/>
        </w:rPr>
        <w:t>4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. godine, zajedno s obrascima za izradu strukturnih dijelova proračuna. </w:t>
      </w:r>
    </w:p>
    <w:p w14:paraId="773B3BAD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Navedene upute sadržavale su: </w:t>
      </w:r>
    </w:p>
    <w:p w14:paraId="366D468C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</w:p>
    <w:p w14:paraId="19384C97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• Važnost primjene Zakona o fiskalnoj odgovornosti, </w:t>
      </w:r>
    </w:p>
    <w:p w14:paraId="1FDF0DA1" w14:textId="54B8122D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• Temeljna ekonomska ishodišta i pretpostavke za izradu prijedloga proračuna jedinica lokalne i područne (regionalne) samouprave za razdoblje 202</w:t>
      </w:r>
      <w:r w:rsidR="00E26887">
        <w:rPr>
          <w:rFonts w:asciiTheme="minorHAnsi" w:eastAsiaTheme="minorHAnsi" w:hAnsiTheme="minorHAnsi"/>
          <w:color w:val="000000"/>
          <w:sz w:val="24"/>
          <w:szCs w:val="24"/>
        </w:rPr>
        <w:t>2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 - 202</w:t>
      </w:r>
      <w:r w:rsidR="00E26887">
        <w:rPr>
          <w:rFonts w:asciiTheme="minorHAnsi" w:eastAsiaTheme="minorHAnsi" w:hAnsiTheme="minorHAnsi"/>
          <w:color w:val="000000"/>
          <w:sz w:val="24"/>
          <w:szCs w:val="24"/>
        </w:rPr>
        <w:t>4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. godine, </w:t>
      </w:r>
    </w:p>
    <w:p w14:paraId="4B1AABFC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• Odrednice prihoda i rashoda proračuna JLP(R)S, </w:t>
      </w:r>
    </w:p>
    <w:p w14:paraId="5944BBDC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• Temeljna ekonomska ishodišta i pretpostavke za izradu prijedloga financijskih planova, </w:t>
      </w:r>
    </w:p>
    <w:p w14:paraId="3CE7D48B" w14:textId="4885E24B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• Opis planiranih politika Grada </w:t>
      </w:r>
      <w:r w:rsidR="00544317" w:rsidRPr="00817D62">
        <w:rPr>
          <w:rFonts w:asciiTheme="minorHAnsi" w:eastAsiaTheme="minorHAnsi" w:hAnsiTheme="minorHAnsi"/>
          <w:color w:val="000000"/>
          <w:sz w:val="24"/>
          <w:szCs w:val="24"/>
        </w:rPr>
        <w:t>Kaštela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, </w:t>
      </w:r>
    </w:p>
    <w:p w14:paraId="24D1A85F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• Upute za proračunske korisnike, </w:t>
      </w:r>
    </w:p>
    <w:p w14:paraId="1A35101E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• Metodologija za izradu prijedloga financijskog plana proračunskog korisnika, </w:t>
      </w:r>
    </w:p>
    <w:p w14:paraId="00B80CF1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• Način pripreme te terminski plan za izradu proračuna i prijedloga financijskih planova </w:t>
      </w:r>
    </w:p>
    <w:p w14:paraId="2FD53C50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korisnika proračuna. </w:t>
      </w:r>
    </w:p>
    <w:p w14:paraId="22779CD6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</w:p>
    <w:p w14:paraId="61C87F91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 Polazišnu osnovu za izradu prijedloga proračuna za naredno razdoblje i definiranje politike u narednom razdoblju je: </w:t>
      </w:r>
    </w:p>
    <w:p w14:paraId="63D2BA3F" w14:textId="77777777" w:rsidR="00817D62" w:rsidRPr="00817D62" w:rsidRDefault="00817D62" w:rsidP="00817D62">
      <w:pPr>
        <w:autoSpaceDE w:val="0"/>
        <w:autoSpaceDN w:val="0"/>
        <w:adjustRightInd w:val="0"/>
        <w:spacing w:after="27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- nastavak smanjenja proračunske potrošnje u svim gradskim upravnim tijelima i na svim proračunskim stavkama koje se racionalnom potrošnjom i štednjom mogu smanjiti, </w:t>
      </w:r>
    </w:p>
    <w:p w14:paraId="263FFFDE" w14:textId="77777777" w:rsidR="00817D62" w:rsidRPr="00817D62" w:rsidRDefault="00817D62" w:rsidP="00817D62">
      <w:pPr>
        <w:autoSpaceDE w:val="0"/>
        <w:autoSpaceDN w:val="0"/>
        <w:adjustRightInd w:val="0"/>
        <w:spacing w:after="27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- osiguranje iste ili veće razine stečenih prava za socijalno ugrožene kategorije </w:t>
      </w:r>
    </w:p>
    <w:p w14:paraId="0047C098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- usklađivanje realizacije investicijskih projekata sa proračunskim mogućnostima. </w:t>
      </w:r>
    </w:p>
    <w:p w14:paraId="5BB42BA2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</w:p>
    <w:p w14:paraId="29FACA55" w14:textId="0BC3EC4D" w:rsidR="00817D62" w:rsidRPr="00817D62" w:rsidRDefault="00817D62" w:rsidP="00817D62">
      <w:pPr>
        <w:spacing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Prijedlog Proračuna Grada Kaštela za 202</w:t>
      </w:r>
      <w:r w:rsidR="00E26887">
        <w:rPr>
          <w:rFonts w:asciiTheme="minorHAnsi" w:eastAsia="Calibri" w:hAnsiTheme="minorHAnsi"/>
          <w:sz w:val="24"/>
          <w:szCs w:val="24"/>
        </w:rPr>
        <w:t>2</w:t>
      </w:r>
      <w:r w:rsidRPr="00817D62">
        <w:rPr>
          <w:rFonts w:asciiTheme="minorHAnsi" w:eastAsia="Calibri" w:hAnsiTheme="minorHAnsi"/>
          <w:sz w:val="24"/>
          <w:szCs w:val="24"/>
        </w:rPr>
        <w:t>. godinu sa projekcijama za 202</w:t>
      </w:r>
      <w:r w:rsidR="00E26887">
        <w:rPr>
          <w:rFonts w:asciiTheme="minorHAnsi" w:eastAsia="Calibri" w:hAnsiTheme="minorHAnsi"/>
          <w:sz w:val="24"/>
          <w:szCs w:val="24"/>
        </w:rPr>
        <w:t>3</w:t>
      </w:r>
      <w:r w:rsidRPr="00817D62">
        <w:rPr>
          <w:rFonts w:asciiTheme="minorHAnsi" w:eastAsia="Calibri" w:hAnsiTheme="minorHAnsi"/>
          <w:sz w:val="24"/>
          <w:szCs w:val="24"/>
        </w:rPr>
        <w:t>. i 202</w:t>
      </w:r>
      <w:r w:rsidR="00E26887">
        <w:rPr>
          <w:rFonts w:asciiTheme="minorHAnsi" w:eastAsia="Calibri" w:hAnsiTheme="minorHAnsi"/>
          <w:sz w:val="24"/>
          <w:szCs w:val="24"/>
        </w:rPr>
        <w:t>4</w:t>
      </w:r>
      <w:r w:rsidRPr="00817D62">
        <w:rPr>
          <w:rFonts w:asciiTheme="minorHAnsi" w:eastAsia="Calibri" w:hAnsiTheme="minorHAnsi"/>
          <w:sz w:val="24"/>
          <w:szCs w:val="24"/>
        </w:rPr>
        <w:t>. godinu sastavljen je na osnovu:</w:t>
      </w:r>
    </w:p>
    <w:p w14:paraId="1530F6FF" w14:textId="77777777" w:rsidR="00817D62" w:rsidRPr="00817D62" w:rsidRDefault="00817D62" w:rsidP="0069710B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 xml:space="preserve">Uputa Ministarstva financija i metodologije za izradu Proračuna </w:t>
      </w:r>
    </w:p>
    <w:p w14:paraId="12805F7E" w14:textId="77777777" w:rsidR="00817D62" w:rsidRPr="00817D62" w:rsidRDefault="00817D62" w:rsidP="0069710B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Vlastite procjene o mogućnostima naplate prihoda temeljem najavljene izmjene Zakona o financiranju jedinica lokalne i područne (regionalne) samouprave</w:t>
      </w:r>
    </w:p>
    <w:p w14:paraId="61DC29DB" w14:textId="37C1C94D" w:rsidR="00817D62" w:rsidRPr="00817D62" w:rsidRDefault="00817D62" w:rsidP="0069710B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 xml:space="preserve">Ostvarenja prihoda i izdataka </w:t>
      </w:r>
      <w:r w:rsidRPr="00F3771F">
        <w:rPr>
          <w:rFonts w:asciiTheme="minorHAnsi" w:eastAsia="Calibri" w:hAnsiTheme="minorHAnsi"/>
          <w:sz w:val="24"/>
          <w:szCs w:val="24"/>
        </w:rPr>
        <w:t>u 20</w:t>
      </w:r>
      <w:r w:rsidR="00E26887" w:rsidRPr="00F3771F">
        <w:rPr>
          <w:rFonts w:asciiTheme="minorHAnsi" w:eastAsia="Calibri" w:hAnsiTheme="minorHAnsi"/>
          <w:sz w:val="24"/>
          <w:szCs w:val="24"/>
        </w:rPr>
        <w:t>20</w:t>
      </w:r>
      <w:r w:rsidRPr="00817D62">
        <w:rPr>
          <w:rFonts w:asciiTheme="minorHAnsi" w:eastAsia="Calibri" w:hAnsiTheme="minorHAnsi"/>
          <w:sz w:val="24"/>
          <w:szCs w:val="24"/>
        </w:rPr>
        <w:t>. godini</w:t>
      </w:r>
    </w:p>
    <w:p w14:paraId="563EA287" w14:textId="5FC1B6B1" w:rsidR="00817D62" w:rsidRPr="00817D62" w:rsidRDefault="00817D62" w:rsidP="0069710B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Ostvarenja prihoda i rashoda do kraja listopada 202</w:t>
      </w:r>
      <w:r w:rsidR="00E26887">
        <w:rPr>
          <w:rFonts w:asciiTheme="minorHAnsi" w:eastAsia="Calibri" w:hAnsiTheme="minorHAnsi"/>
          <w:sz w:val="24"/>
          <w:szCs w:val="24"/>
        </w:rPr>
        <w:t>1</w:t>
      </w:r>
      <w:r w:rsidRPr="00817D62">
        <w:rPr>
          <w:rFonts w:asciiTheme="minorHAnsi" w:eastAsia="Calibri" w:hAnsiTheme="minorHAnsi"/>
          <w:sz w:val="24"/>
          <w:szCs w:val="24"/>
        </w:rPr>
        <w:t>. godine</w:t>
      </w:r>
    </w:p>
    <w:p w14:paraId="3BEE0B6E" w14:textId="77777777" w:rsidR="00817D62" w:rsidRPr="00817D62" w:rsidRDefault="00817D62" w:rsidP="0069710B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Očekivane prodaje zemljišta i donacija investitora</w:t>
      </w:r>
    </w:p>
    <w:p w14:paraId="36395480" w14:textId="77777777" w:rsidR="00817D62" w:rsidRPr="00817D62" w:rsidRDefault="00817D62" w:rsidP="0069710B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 xml:space="preserve">Financijskih planova proračunskih korisnika </w:t>
      </w:r>
    </w:p>
    <w:p w14:paraId="506B8EA9" w14:textId="77777777" w:rsidR="00817D62" w:rsidRPr="00817D62" w:rsidRDefault="00817D62" w:rsidP="0069710B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Analize stanja i potreba u upravnom odjelu za komunalne djelatnosti</w:t>
      </w:r>
    </w:p>
    <w:p w14:paraId="494CD345" w14:textId="77777777" w:rsidR="00817D62" w:rsidRPr="00817D62" w:rsidRDefault="00817D62" w:rsidP="0069710B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 xml:space="preserve">Zaključenih ugovora o izgradnji </w:t>
      </w:r>
    </w:p>
    <w:p w14:paraId="2351CACC" w14:textId="77777777" w:rsidR="00817D62" w:rsidRPr="00817D62" w:rsidRDefault="00817D62" w:rsidP="0069710B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Donesenih odluka, zaključaka i ostalih ugovora.</w:t>
      </w:r>
    </w:p>
    <w:p w14:paraId="13DDA797" w14:textId="77777777" w:rsidR="00817D62" w:rsidRPr="00817D62" w:rsidRDefault="00817D62" w:rsidP="00817D62">
      <w:pPr>
        <w:jc w:val="both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 xml:space="preserve">     Prema članku 39 Zakona o proračunu, predstavničko tijelo donosi proračun za iduću proračunsku godinu na razini podskupine ekonomske klasifikacije ( odnosno na  trećoj razini računskog plana) a projekcije za slijedeće dvije proračunske godine na razini skupine ( druga razina računskog plana) .</w:t>
      </w:r>
    </w:p>
    <w:p w14:paraId="3972F72A" w14:textId="77777777" w:rsidR="00817D62" w:rsidRPr="00817D62" w:rsidRDefault="00817D62" w:rsidP="00817D62">
      <w:pPr>
        <w:rPr>
          <w:rFonts w:asciiTheme="minorHAnsi" w:eastAsiaTheme="minorHAnsi" w:hAnsiTheme="minorHAnsi" w:cstheme="minorBid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lastRenderedPageBreak/>
        <w:t>Proračun se sastoji od</w:t>
      </w:r>
      <w:r w:rsidRPr="00817D62">
        <w:rPr>
          <w:rFonts w:asciiTheme="minorHAnsi" w:eastAsiaTheme="minorHAnsi" w:hAnsiTheme="minorHAnsi" w:cstheme="minorBidi"/>
          <w:sz w:val="24"/>
          <w:szCs w:val="24"/>
        </w:rPr>
        <w:t>:</w:t>
      </w:r>
    </w:p>
    <w:p w14:paraId="0A80DFA7" w14:textId="77777777" w:rsidR="00817D62" w:rsidRPr="00817D62" w:rsidRDefault="00817D62" w:rsidP="00817D62">
      <w:pPr>
        <w:numPr>
          <w:ilvl w:val="0"/>
          <w:numId w:val="1"/>
        </w:numPr>
        <w:contextualSpacing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općeg,</w:t>
      </w:r>
    </w:p>
    <w:p w14:paraId="0D10B189" w14:textId="3CD1FE2A" w:rsidR="00817D62" w:rsidRPr="00817D62" w:rsidRDefault="00817D62" w:rsidP="00817D62">
      <w:pPr>
        <w:numPr>
          <w:ilvl w:val="0"/>
          <w:numId w:val="1"/>
        </w:numPr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 xml:space="preserve">posebnog dijela </w:t>
      </w:r>
    </w:p>
    <w:p w14:paraId="54777A28" w14:textId="1F811260" w:rsidR="00817D62" w:rsidRPr="00817D62" w:rsidRDefault="00817D62" w:rsidP="00695CCF">
      <w:pPr>
        <w:ind w:left="360"/>
        <w:contextualSpacing/>
        <w:rPr>
          <w:rFonts w:asciiTheme="minorHAnsi" w:eastAsiaTheme="minorHAnsi" w:hAnsiTheme="minorHAnsi" w:cstheme="minorBidi"/>
          <w:sz w:val="24"/>
          <w:szCs w:val="24"/>
        </w:rPr>
      </w:pPr>
    </w:p>
    <w:p w14:paraId="331950DF" w14:textId="77777777" w:rsidR="00DA5563" w:rsidRDefault="00DA5563" w:rsidP="00817D62">
      <w:pPr>
        <w:rPr>
          <w:rFonts w:asciiTheme="minorHAnsi" w:eastAsia="Calibri" w:hAnsiTheme="minorHAnsi"/>
          <w:sz w:val="24"/>
          <w:szCs w:val="24"/>
        </w:rPr>
      </w:pPr>
    </w:p>
    <w:p w14:paraId="069642E0" w14:textId="667BB69B" w:rsidR="00817D62" w:rsidRPr="00817D62" w:rsidRDefault="00817D62" w:rsidP="00817D62">
      <w:pPr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Opći dio Proračuna sadrži račun prihoda i rashoda, te račun financiranja.</w:t>
      </w:r>
    </w:p>
    <w:p w14:paraId="4D9045E5" w14:textId="27EC7533" w:rsidR="00817D62" w:rsidRPr="00817D62" w:rsidRDefault="00817D62" w:rsidP="00817D62">
      <w:pPr>
        <w:jc w:val="both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U računu prihoda i rashoda iskazani su svi prihodi i rashodi, koji su iskazani u Proračunu Grada Kaštela za 202</w:t>
      </w:r>
      <w:r w:rsidR="00E26887">
        <w:rPr>
          <w:rFonts w:asciiTheme="minorHAnsi" w:eastAsia="Calibri" w:hAnsiTheme="minorHAnsi"/>
          <w:sz w:val="24"/>
          <w:szCs w:val="24"/>
        </w:rPr>
        <w:t>2</w:t>
      </w:r>
      <w:r w:rsidRPr="00817D62">
        <w:rPr>
          <w:rFonts w:asciiTheme="minorHAnsi" w:eastAsia="Calibri" w:hAnsiTheme="minorHAnsi"/>
          <w:sz w:val="24"/>
          <w:szCs w:val="24"/>
        </w:rPr>
        <w:t>. godinu. Prihodi Proračuna iskazani su po izvorima iz kojih potječu (porezni prihodi, pomoći, prihodi od imovine, prihodi od administrativnih pristojbi i po posebnim propisima, prihodi od prodaje nefinancijske imovine i ostali prihodi), a ubiru se i uplaćuju sukladno zakonima i drugim propisima. Iz navedenih prihoda financiraju se programi javnih potreba utvrđenih na nivou Grada za 202</w:t>
      </w:r>
      <w:r w:rsidR="00E26887">
        <w:rPr>
          <w:rFonts w:asciiTheme="minorHAnsi" w:eastAsia="Calibri" w:hAnsiTheme="minorHAnsi"/>
          <w:sz w:val="24"/>
          <w:szCs w:val="24"/>
        </w:rPr>
        <w:t>2</w:t>
      </w:r>
      <w:r w:rsidRPr="00817D62">
        <w:rPr>
          <w:rFonts w:asciiTheme="minorHAnsi" w:eastAsia="Calibri" w:hAnsiTheme="minorHAnsi"/>
          <w:sz w:val="24"/>
          <w:szCs w:val="24"/>
        </w:rPr>
        <w:t>. godinu.</w:t>
      </w:r>
    </w:p>
    <w:p w14:paraId="32D636B6" w14:textId="77777777" w:rsidR="00817D62" w:rsidRPr="00817D62" w:rsidRDefault="00817D62" w:rsidP="00817D62">
      <w:pPr>
        <w:jc w:val="both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U računu financiranja iskazuju se primici od financijske imovine  i zaduživanja, te izdaci za financijsku imovinu i otplatu zajmova.</w:t>
      </w:r>
    </w:p>
    <w:p w14:paraId="5EFDB9C2" w14:textId="77777777" w:rsidR="00817D62" w:rsidRPr="00817D62" w:rsidRDefault="00817D62" w:rsidP="00817D62">
      <w:pPr>
        <w:jc w:val="both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Posebni dio sadrži raspored rashoda i izdataka proračunskih korisnika prema ekonomskoj, organizacijskoj, programskoj i funkcijskoj klasifikaciji.</w:t>
      </w:r>
    </w:p>
    <w:p w14:paraId="23B0695D" w14:textId="2FF3A5B9" w:rsidR="00817D62" w:rsidRPr="00817D62" w:rsidRDefault="00817D62" w:rsidP="00817D62">
      <w:pPr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Proračun Grada Kaštela za 202</w:t>
      </w:r>
      <w:r w:rsidR="00E26887">
        <w:rPr>
          <w:rFonts w:asciiTheme="minorHAnsi" w:eastAsia="Calibri" w:hAnsiTheme="minorHAnsi"/>
          <w:sz w:val="24"/>
          <w:szCs w:val="24"/>
        </w:rPr>
        <w:t>2</w:t>
      </w:r>
      <w:r w:rsidRPr="00817D62">
        <w:rPr>
          <w:rFonts w:asciiTheme="minorHAnsi" w:eastAsia="Calibri" w:hAnsiTheme="minorHAnsi"/>
          <w:sz w:val="24"/>
          <w:szCs w:val="24"/>
        </w:rPr>
        <w:t>. godinu je konsolidiran</w:t>
      </w:r>
      <w:r w:rsidRPr="00817D62">
        <w:rPr>
          <w:rFonts w:asciiTheme="minorHAnsi" w:eastAsiaTheme="minorHAnsi" w:hAnsiTheme="minorHAnsi" w:cstheme="minorBidi"/>
          <w:sz w:val="24"/>
          <w:szCs w:val="24"/>
        </w:rPr>
        <w:t xml:space="preserve"> te su u njega </w:t>
      </w:r>
      <w:r w:rsidRPr="00817D62">
        <w:rPr>
          <w:rFonts w:asciiTheme="minorHAnsi" w:eastAsia="Calibri" w:hAnsiTheme="minorHAnsi"/>
          <w:sz w:val="24"/>
          <w:szCs w:val="24"/>
        </w:rPr>
        <w:t xml:space="preserve"> uključeni i svi planirani prihodi proračunskih korisnika uključenih u Gradsku riznicu.</w:t>
      </w:r>
    </w:p>
    <w:p w14:paraId="41C6CE08" w14:textId="77777777" w:rsidR="00817D62" w:rsidRPr="00817D62" w:rsidRDefault="00817D62" w:rsidP="00817D62">
      <w:pPr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Proračunski korisnici su:</w:t>
      </w:r>
    </w:p>
    <w:p w14:paraId="02DADA0F" w14:textId="77777777" w:rsidR="00817D62" w:rsidRPr="00817D62" w:rsidRDefault="00817D62" w:rsidP="00817D62">
      <w:pPr>
        <w:spacing w:after="0" w:line="240" w:lineRule="auto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Gradska knjižnica Kaštela</w:t>
      </w:r>
      <w:r w:rsidRPr="00817D62">
        <w:rPr>
          <w:rFonts w:asciiTheme="minorHAnsi" w:eastAsia="Calibri" w:hAnsiTheme="minorHAnsi"/>
          <w:sz w:val="24"/>
          <w:szCs w:val="24"/>
        </w:rPr>
        <w:tab/>
      </w:r>
      <w:r w:rsidRPr="00817D62">
        <w:rPr>
          <w:rFonts w:asciiTheme="minorHAnsi" w:eastAsia="Calibri" w:hAnsiTheme="minorHAnsi"/>
          <w:sz w:val="24"/>
          <w:szCs w:val="24"/>
        </w:rPr>
        <w:tab/>
      </w:r>
      <w:r w:rsidRPr="00817D62">
        <w:rPr>
          <w:rFonts w:asciiTheme="minorHAnsi" w:eastAsia="Calibri" w:hAnsiTheme="minorHAnsi"/>
          <w:sz w:val="24"/>
          <w:szCs w:val="24"/>
        </w:rPr>
        <w:tab/>
        <w:t>K.Sućurac  RKP  30380</w:t>
      </w:r>
    </w:p>
    <w:p w14:paraId="20EC1A10" w14:textId="77777777" w:rsidR="00817D62" w:rsidRPr="00817D62" w:rsidRDefault="00817D62" w:rsidP="00817D62">
      <w:pPr>
        <w:spacing w:after="0" w:line="240" w:lineRule="auto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Muzej Grada Kaštela</w:t>
      </w:r>
      <w:r w:rsidRPr="00817D62">
        <w:rPr>
          <w:rFonts w:asciiTheme="minorHAnsi" w:eastAsia="Calibri" w:hAnsiTheme="minorHAnsi"/>
          <w:sz w:val="24"/>
          <w:szCs w:val="24"/>
        </w:rPr>
        <w:tab/>
      </w:r>
      <w:r w:rsidRPr="00817D62">
        <w:rPr>
          <w:rFonts w:asciiTheme="minorHAnsi" w:eastAsia="Calibri" w:hAnsiTheme="minorHAnsi"/>
          <w:sz w:val="24"/>
          <w:szCs w:val="24"/>
        </w:rPr>
        <w:tab/>
      </w:r>
      <w:r w:rsidRPr="00817D62">
        <w:rPr>
          <w:rFonts w:asciiTheme="minorHAnsi" w:eastAsia="Calibri" w:hAnsiTheme="minorHAnsi"/>
          <w:sz w:val="24"/>
          <w:szCs w:val="24"/>
        </w:rPr>
        <w:tab/>
      </w:r>
      <w:r w:rsidRPr="00817D62">
        <w:rPr>
          <w:rFonts w:asciiTheme="minorHAnsi" w:eastAsia="Calibri" w:hAnsiTheme="minorHAnsi"/>
          <w:sz w:val="24"/>
          <w:szCs w:val="24"/>
        </w:rPr>
        <w:tab/>
        <w:t>K.Lukšić      „      30398</w:t>
      </w:r>
    </w:p>
    <w:p w14:paraId="1CB09C87" w14:textId="77777777" w:rsidR="00817D62" w:rsidRPr="00817D62" w:rsidRDefault="00817D62" w:rsidP="00817D62">
      <w:pPr>
        <w:tabs>
          <w:tab w:val="left" w:pos="3840"/>
        </w:tabs>
        <w:spacing w:after="0" w:line="240" w:lineRule="auto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Dječji vrtić Kaštela</w:t>
      </w:r>
      <w:r w:rsidRPr="00817D62">
        <w:rPr>
          <w:rFonts w:asciiTheme="minorHAnsi" w:eastAsia="Calibri" w:hAnsiTheme="minorHAnsi"/>
          <w:sz w:val="24"/>
          <w:szCs w:val="24"/>
        </w:rPr>
        <w:tab/>
      </w:r>
      <w:r w:rsidRPr="00817D62">
        <w:rPr>
          <w:rFonts w:asciiTheme="minorHAnsi" w:eastAsia="Calibri" w:hAnsiTheme="minorHAnsi"/>
          <w:sz w:val="24"/>
          <w:szCs w:val="24"/>
        </w:rPr>
        <w:tab/>
        <w:t>K. Stari</w:t>
      </w:r>
      <w:r w:rsidRPr="00817D62">
        <w:rPr>
          <w:rFonts w:asciiTheme="minorHAnsi" w:eastAsia="Calibri" w:hAnsiTheme="minorHAnsi"/>
          <w:sz w:val="24"/>
          <w:szCs w:val="24"/>
        </w:rPr>
        <w:tab/>
        <w:t xml:space="preserve">       „      38052</w:t>
      </w:r>
    </w:p>
    <w:p w14:paraId="3E71A0D0" w14:textId="77777777" w:rsidR="00817D62" w:rsidRPr="00817D62" w:rsidRDefault="00817D62" w:rsidP="00817D62">
      <w:pPr>
        <w:tabs>
          <w:tab w:val="left" w:pos="3840"/>
        </w:tabs>
        <w:spacing w:after="0" w:line="240" w:lineRule="auto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Javna ustanova Spo</w:t>
      </w:r>
      <w:r w:rsidRPr="00817D62">
        <w:rPr>
          <w:rFonts w:asciiTheme="minorHAnsi" w:eastAsiaTheme="minorHAnsi" w:hAnsiTheme="minorHAnsi" w:cstheme="minorBidi"/>
          <w:sz w:val="24"/>
          <w:szCs w:val="24"/>
        </w:rPr>
        <w:t>rtski objekti</w:t>
      </w:r>
      <w:r w:rsidRPr="00817D62">
        <w:rPr>
          <w:rFonts w:asciiTheme="minorHAnsi" w:eastAsiaTheme="minorHAnsi" w:hAnsiTheme="minorHAnsi" w:cstheme="minorBidi"/>
          <w:sz w:val="24"/>
          <w:szCs w:val="24"/>
        </w:rPr>
        <w:tab/>
      </w:r>
      <w:r w:rsidRPr="00817D62">
        <w:rPr>
          <w:rFonts w:asciiTheme="minorHAnsi" w:eastAsiaTheme="minorHAnsi" w:hAnsiTheme="minorHAnsi" w:cstheme="minorBidi"/>
          <w:sz w:val="24"/>
          <w:szCs w:val="24"/>
        </w:rPr>
        <w:tab/>
      </w:r>
      <w:r w:rsidRPr="00817D62">
        <w:rPr>
          <w:rFonts w:asciiTheme="minorHAnsi" w:eastAsia="Calibri" w:hAnsiTheme="minorHAnsi"/>
          <w:sz w:val="24"/>
          <w:szCs w:val="24"/>
        </w:rPr>
        <w:t>K.Sućurac   „      48040</w:t>
      </w:r>
    </w:p>
    <w:p w14:paraId="28332720" w14:textId="77777777" w:rsidR="00817D62" w:rsidRPr="00817D62" w:rsidRDefault="00817D62" w:rsidP="00817D62">
      <w:pPr>
        <w:tabs>
          <w:tab w:val="left" w:pos="3840"/>
        </w:tabs>
        <w:spacing w:after="0" w:line="240" w:lineRule="auto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>Razvojna agencija Grada Kaštela</w:t>
      </w:r>
      <w:r w:rsidRPr="00817D62">
        <w:rPr>
          <w:rFonts w:asciiTheme="minorHAnsi" w:eastAsia="Calibri" w:hAnsiTheme="minorHAnsi"/>
          <w:sz w:val="24"/>
          <w:szCs w:val="24"/>
        </w:rPr>
        <w:tab/>
      </w:r>
      <w:r w:rsidRPr="00817D62">
        <w:rPr>
          <w:rFonts w:asciiTheme="minorHAnsi" w:eastAsia="Calibri" w:hAnsiTheme="minorHAnsi"/>
          <w:sz w:val="24"/>
          <w:szCs w:val="24"/>
        </w:rPr>
        <w:tab/>
        <w:t>K.Sućurac   „      50805</w:t>
      </w:r>
      <w:r w:rsidRPr="00817D62">
        <w:rPr>
          <w:rFonts w:asciiTheme="minorHAnsi" w:eastAsia="Calibri" w:hAnsiTheme="minorHAnsi"/>
          <w:sz w:val="24"/>
          <w:szCs w:val="24"/>
        </w:rPr>
        <w:tab/>
      </w:r>
    </w:p>
    <w:p w14:paraId="7BC6793A" w14:textId="77777777" w:rsidR="00817D62" w:rsidRPr="00817D62" w:rsidRDefault="00817D62" w:rsidP="00817D62">
      <w:pPr>
        <w:tabs>
          <w:tab w:val="left" w:pos="3840"/>
        </w:tabs>
        <w:spacing w:after="0" w:line="240" w:lineRule="auto"/>
        <w:rPr>
          <w:rFonts w:asciiTheme="minorHAnsi" w:eastAsia="Calibri" w:hAnsiTheme="minorHAnsi"/>
          <w:sz w:val="24"/>
          <w:szCs w:val="24"/>
        </w:rPr>
      </w:pPr>
      <w:r w:rsidRPr="00817D62">
        <w:rPr>
          <w:rFonts w:asciiTheme="minorHAnsi" w:eastAsia="Calibri" w:hAnsiTheme="minorHAnsi"/>
          <w:sz w:val="24"/>
          <w:szCs w:val="24"/>
        </w:rPr>
        <w:tab/>
      </w:r>
    </w:p>
    <w:p w14:paraId="53C291E1" w14:textId="77777777" w:rsidR="00DA5563" w:rsidRDefault="00DA5563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 w:themeColor="text1"/>
          <w:sz w:val="24"/>
          <w:szCs w:val="24"/>
        </w:rPr>
      </w:pPr>
    </w:p>
    <w:p w14:paraId="0825A347" w14:textId="6D403873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 w:themeColor="text1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 w:themeColor="text1"/>
          <w:sz w:val="24"/>
          <w:szCs w:val="24"/>
        </w:rPr>
        <w:t xml:space="preserve">Uspostavom lokalne riznice postiglo se povezivanje proračuna s njegovim proračunskim korisnicima u svim fazama proračunskog ciklusa: od planiranja i izvršavanja proračuna do proračunskog računovodstva. </w:t>
      </w:r>
    </w:p>
    <w:p w14:paraId="26F5A25A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 w:themeColor="text1"/>
          <w:sz w:val="24"/>
          <w:szCs w:val="24"/>
        </w:rPr>
      </w:pPr>
    </w:p>
    <w:p w14:paraId="38621C14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 w:themeColor="text1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 w:themeColor="text1"/>
          <w:sz w:val="24"/>
          <w:szCs w:val="24"/>
        </w:rPr>
        <w:t xml:space="preserve">Proračunski korisnici aktivno sudjeluju u pripremi proračuna za svoju ustanovu, a prilikom izvršavanja proračuna limitirani su planiranim rashodima, te shodno tome i odgovorni za stvorene obveze na teret ustanove odnosno Grada. </w:t>
      </w:r>
    </w:p>
    <w:p w14:paraId="26DC0CC0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 w:themeColor="text1"/>
          <w:sz w:val="24"/>
          <w:szCs w:val="24"/>
        </w:rPr>
      </w:pPr>
    </w:p>
    <w:p w14:paraId="62E1E14A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 w:themeColor="text1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 w:themeColor="text1"/>
          <w:sz w:val="24"/>
          <w:szCs w:val="24"/>
        </w:rPr>
        <w:t xml:space="preserve">Grad ima kontrolnu funkciju kojom onemogućava raspolaganje sredstvima iznad planiranih rashoda. Svi proračunski korisnici i dalje imaju pravnu osobnost, imaju obvezu voditi svoje poslovne knjige koje moraju biti usklađene s podacima u poslovnim knjigama Grada Kaštela. </w:t>
      </w:r>
    </w:p>
    <w:p w14:paraId="0E8CAEED" w14:textId="714EA21C" w:rsidR="003006E5" w:rsidRPr="00911CAD" w:rsidRDefault="00817D62" w:rsidP="0069710B">
      <w:pPr>
        <w:pStyle w:val="Naslov1"/>
        <w:numPr>
          <w:ilvl w:val="0"/>
          <w:numId w:val="2"/>
        </w:numPr>
        <w:rPr>
          <w:b/>
          <w:bCs/>
          <w:color w:val="auto"/>
          <w:sz w:val="28"/>
          <w:szCs w:val="28"/>
        </w:rPr>
      </w:pPr>
      <w:bookmarkStart w:id="7" w:name="_Toc88555237"/>
      <w:r w:rsidRPr="00817D62">
        <w:rPr>
          <w:b/>
          <w:bCs/>
          <w:color w:val="auto"/>
          <w:sz w:val="28"/>
          <w:szCs w:val="28"/>
        </w:rPr>
        <w:lastRenderedPageBreak/>
        <w:t>PRORAČUN ZA 202</w:t>
      </w:r>
      <w:r w:rsidR="00E26887">
        <w:rPr>
          <w:b/>
          <w:bCs/>
          <w:color w:val="auto"/>
          <w:sz w:val="28"/>
          <w:szCs w:val="28"/>
        </w:rPr>
        <w:t>2</w:t>
      </w:r>
      <w:r w:rsidRPr="00817D62">
        <w:rPr>
          <w:b/>
          <w:bCs/>
          <w:color w:val="auto"/>
          <w:sz w:val="28"/>
          <w:szCs w:val="28"/>
        </w:rPr>
        <w:t>.GODINU I PROJEKCIJE ZA 202</w:t>
      </w:r>
      <w:r w:rsidR="00E26887">
        <w:rPr>
          <w:b/>
          <w:bCs/>
          <w:color w:val="auto"/>
          <w:sz w:val="28"/>
          <w:szCs w:val="28"/>
        </w:rPr>
        <w:t>3</w:t>
      </w:r>
      <w:r w:rsidRPr="00817D62">
        <w:rPr>
          <w:b/>
          <w:bCs/>
          <w:color w:val="auto"/>
          <w:sz w:val="28"/>
          <w:szCs w:val="28"/>
        </w:rPr>
        <w:t>. I 202</w:t>
      </w:r>
      <w:r w:rsidR="00E26887">
        <w:rPr>
          <w:b/>
          <w:bCs/>
          <w:color w:val="auto"/>
          <w:sz w:val="28"/>
          <w:szCs w:val="28"/>
        </w:rPr>
        <w:t>4</w:t>
      </w:r>
      <w:r w:rsidRPr="00817D62">
        <w:rPr>
          <w:b/>
          <w:bCs/>
          <w:color w:val="auto"/>
          <w:sz w:val="28"/>
          <w:szCs w:val="28"/>
        </w:rPr>
        <w:t>.GODINU</w:t>
      </w:r>
      <w:bookmarkEnd w:id="7"/>
    </w:p>
    <w:p w14:paraId="461F61CF" w14:textId="1BBFC6AB" w:rsidR="008446A6" w:rsidRDefault="008446A6" w:rsidP="00817D62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2117"/>
        <w:gridCol w:w="1081"/>
        <w:gridCol w:w="1050"/>
        <w:gridCol w:w="1134"/>
        <w:gridCol w:w="1032"/>
        <w:gridCol w:w="1032"/>
        <w:gridCol w:w="847"/>
        <w:gridCol w:w="775"/>
        <w:gridCol w:w="773"/>
      </w:tblGrid>
      <w:tr w:rsidR="00504203" w:rsidRPr="00504203" w14:paraId="4ACB90E4" w14:textId="77777777" w:rsidTr="00504203">
        <w:trPr>
          <w:trHeight w:val="310"/>
        </w:trPr>
        <w:tc>
          <w:tcPr>
            <w:tcW w:w="96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vAlign w:val="bottom"/>
            <w:hideMark/>
          </w:tcPr>
          <w:p w14:paraId="47315661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504203" w:rsidRPr="00504203" w14:paraId="76BFABCA" w14:textId="77777777" w:rsidTr="00504203">
        <w:trPr>
          <w:trHeight w:val="5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69DE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Grupa konta/naziv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7131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IZVRŠENJE 2020.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5545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PLAN 2021.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0446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PLAN 2022.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9A7E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Projekcija 2023.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40A9BEE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Projekcija 2024.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D03A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Indeks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9D27F2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Indeks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1257D0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Indeks </w:t>
            </w:r>
          </w:p>
        </w:tc>
      </w:tr>
      <w:tr w:rsidR="00096879" w:rsidRPr="00504203" w14:paraId="4F4EF6FC" w14:textId="77777777" w:rsidTr="00504203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4D6F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6847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342C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67A8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728C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42886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350FC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4/3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67EC8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5/4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AA814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6/5</w:t>
            </w:r>
          </w:p>
        </w:tc>
      </w:tr>
      <w:tr w:rsidR="00096879" w:rsidRPr="00504203" w14:paraId="094049A4" w14:textId="77777777" w:rsidTr="00504203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F4CB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6. PRIHODI POSLOVANJA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E205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146.310.492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9E3B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203.365.210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EAB0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198.027.900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570E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193.202.400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6F5B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191.728.900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DC389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97,38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33190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97,56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15680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99,24</w:t>
            </w:r>
          </w:p>
        </w:tc>
      </w:tr>
      <w:tr w:rsidR="00504203" w:rsidRPr="00504203" w14:paraId="76227535" w14:textId="77777777" w:rsidTr="00504203">
        <w:trPr>
          <w:trHeight w:val="52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C397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7. PRIHODI OD PRODAJE NEFINANCIJSKE IMOVINE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355F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4.297.767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5C39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1.202.100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D7F7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EFB9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99F9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1.300.000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0B268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16,64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92E87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AB659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096879" w:rsidRPr="00504203" w14:paraId="1EE628E2" w14:textId="77777777" w:rsidTr="00504203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5C48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EA89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150.608.259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3BF9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204.567.310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8DC2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198.227.900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1E33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193.402.400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5262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193.028.900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D5ADC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96,90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37AEB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97,57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F70C6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99,81</w:t>
            </w:r>
          </w:p>
        </w:tc>
      </w:tr>
      <w:tr w:rsidR="00096879" w:rsidRPr="00504203" w14:paraId="3DB8D788" w14:textId="77777777" w:rsidTr="00504203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2E7B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3. RASHODI POSLOVANJA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105A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148.109.694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4DA6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160.634.105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A403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147.386.100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BE3C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150.859.400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8F802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149.202.900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F5A5C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91,75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A825F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102,36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82F3C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98,90</w:t>
            </w:r>
          </w:p>
        </w:tc>
      </w:tr>
      <w:tr w:rsidR="00504203" w:rsidRPr="00504203" w14:paraId="13F5F1FA" w14:textId="77777777" w:rsidTr="00504203">
        <w:trPr>
          <w:trHeight w:val="52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41DD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4. RASHODI ZA NABAVU NEFINANCIJSKE IMOVINE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A3BC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29.138.125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453A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60.583.910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AB6B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35.560.550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108B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51.543.000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29B2F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40.826.000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82920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58,70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E7C4D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144,94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38159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79,21</w:t>
            </w:r>
          </w:p>
        </w:tc>
      </w:tr>
      <w:tr w:rsidR="00096879" w:rsidRPr="00504203" w14:paraId="2E8A4A28" w14:textId="77777777" w:rsidTr="00504203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B19A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3A1B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177.247.819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23DB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221.218.015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60BF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182.946.650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7793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202.402.400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035D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190.028.900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1F323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82,70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93750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110,63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C01B5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93,89</w:t>
            </w:r>
          </w:p>
        </w:tc>
      </w:tr>
      <w:tr w:rsidR="00096879" w:rsidRPr="00504203" w14:paraId="471433F1" w14:textId="77777777" w:rsidTr="00504203">
        <w:trPr>
          <w:trHeight w:val="5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BAC5D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RAZLIKA PRIHODA I RASHODA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185F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-26.639.561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AAE9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-16.650.705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8189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15.281.250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5D42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6372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80EA3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-91,78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677BB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-58,90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C05B8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-33,33</w:t>
            </w:r>
          </w:p>
        </w:tc>
      </w:tr>
      <w:tr w:rsidR="00504203" w:rsidRPr="00504203" w14:paraId="0712687E" w14:textId="77777777" w:rsidTr="00504203">
        <w:trPr>
          <w:trHeight w:val="441"/>
        </w:trPr>
        <w:tc>
          <w:tcPr>
            <w:tcW w:w="96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vAlign w:val="bottom"/>
            <w:hideMark/>
          </w:tcPr>
          <w:p w14:paraId="6D19850E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B. RAČUN FINANCIRANJA</w:t>
            </w:r>
          </w:p>
        </w:tc>
      </w:tr>
      <w:tr w:rsidR="00504203" w:rsidRPr="00504203" w14:paraId="37109584" w14:textId="77777777" w:rsidTr="00504203">
        <w:trPr>
          <w:trHeight w:val="33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6DBB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8.PRIMICI OD FINANCIJSKE IMOVINE I ZADUŽIVANJA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9578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13.865.615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0413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FA76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1.518.750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4521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C8AC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C457B" w14:textId="77777777" w:rsidR="00504203" w:rsidRPr="00504203" w:rsidRDefault="00504203" w:rsidP="0050420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22EBD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658,44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7E533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4203" w:rsidRPr="00504203" w14:paraId="0A098256" w14:textId="77777777" w:rsidTr="00504203">
        <w:trPr>
          <w:trHeight w:val="64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C771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5.IZDACI ZA FINANCIJSKU IMOVINU I OTPLATE ZAJMOVA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3EF66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027B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0E36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7.800.000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0C41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8DCE6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F41BE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78,00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9D5DD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12,82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E4FD5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096879" w:rsidRPr="00504203" w14:paraId="54AE4A96" w14:textId="77777777" w:rsidTr="00504203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DCB5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RAZLIKA (VIŠAK+/MANJAK-)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DFD3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13.865.615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73D9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2FA4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-6.281.250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57F5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2060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E02EE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62,81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32832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-143,28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9E7CC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-33,33</w:t>
            </w:r>
          </w:p>
        </w:tc>
      </w:tr>
      <w:tr w:rsidR="00504203" w:rsidRPr="00504203" w14:paraId="13D2F8B6" w14:textId="77777777" w:rsidTr="00504203">
        <w:trPr>
          <w:trHeight w:val="343"/>
        </w:trPr>
        <w:tc>
          <w:tcPr>
            <w:tcW w:w="962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bottom"/>
            <w:hideMark/>
          </w:tcPr>
          <w:p w14:paraId="3D702F4A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C. UKUPNO PRORAČUN GRADA</w:t>
            </w:r>
          </w:p>
        </w:tc>
      </w:tr>
      <w:tr w:rsidR="00096879" w:rsidRPr="00504203" w14:paraId="3D1450D0" w14:textId="77777777" w:rsidTr="00504203">
        <w:trPr>
          <w:trHeight w:val="3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14E4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UKUPNI PRIHODI I PRIMICI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4033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164.473.874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C868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204.567.310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1C7E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  <w:t>199.746.650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D808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203.402.400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5E9B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193.028.900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46E2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97,64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3F7E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101,83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9420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94,90</w:t>
            </w:r>
          </w:p>
        </w:tc>
      </w:tr>
      <w:tr w:rsidR="00096879" w:rsidRPr="00504203" w14:paraId="18CEDE5E" w14:textId="77777777" w:rsidTr="00504203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1673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UKUPNI RASHODI I IZDACI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2048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177.247.819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3037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231.218.015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8173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  <w:t>190.746.650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FFF4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203.402.400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120D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193.028.900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5177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82,50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2CC7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106,63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B386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94,90</w:t>
            </w:r>
          </w:p>
        </w:tc>
      </w:tr>
      <w:tr w:rsidR="00096879" w:rsidRPr="00504203" w14:paraId="0590CE7E" w14:textId="77777777" w:rsidTr="00504203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88F3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RAZLIKA (VIŠAK+/MANJAK-)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B316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-12.773.946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208C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-26.650.705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4E43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2B0C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2282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A314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-33,77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058A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5FB7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04203" w:rsidRPr="00504203" w14:paraId="39EC31CA" w14:textId="77777777" w:rsidTr="00504203">
        <w:trPr>
          <w:trHeight w:val="559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E778A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DONOS IZ PRETHODNIH GODINA/RAZDOBLJA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B2B7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39.424.650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D831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26.650.705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B51B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9678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1BE8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9AD5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-33,77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811F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4E64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04203" w:rsidRPr="00504203" w14:paraId="06B8E5E3" w14:textId="77777777" w:rsidTr="00504203">
        <w:trPr>
          <w:trHeight w:val="42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3ED5BF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D. VIŠAK/MANJAK/RAZLIKA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9ABF2D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26.650.705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A5036E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8163E3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E1B589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FE19D8" w14:textId="77777777" w:rsidR="00504203" w:rsidRPr="00504203" w:rsidRDefault="00504203" w:rsidP="00504203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323B79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208026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E120EC" w14:textId="77777777" w:rsidR="00504203" w:rsidRPr="00504203" w:rsidRDefault="00504203" w:rsidP="00504203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4203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6EFAB6A7" w14:textId="233E2180" w:rsidR="009B74A6" w:rsidRDefault="009B74A6" w:rsidP="00817D62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743900E" w14:textId="2EE6EB0A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Prijedlogom proračuna Grada Kaštela za 202</w:t>
      </w:r>
      <w:r w:rsidR="009B74A6">
        <w:rPr>
          <w:rFonts w:asciiTheme="minorHAnsi" w:eastAsiaTheme="minorHAnsi" w:hAnsiTheme="minorHAnsi"/>
          <w:color w:val="000000"/>
          <w:sz w:val="24"/>
          <w:szCs w:val="24"/>
        </w:rPr>
        <w:t>2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.godinu predlažu se:</w:t>
      </w:r>
    </w:p>
    <w:p w14:paraId="15FA2CAD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</w:p>
    <w:p w14:paraId="3990962E" w14:textId="65182C2F" w:rsidR="00817D62" w:rsidRPr="00817D62" w:rsidRDefault="00817D62" w:rsidP="00697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ukupni prihodi i primici u iznosu od </w:t>
      </w:r>
      <w:r w:rsidR="00553218" w:rsidRPr="00553218">
        <w:rPr>
          <w:rFonts w:asciiTheme="minorHAnsi" w:eastAsiaTheme="minorHAnsi" w:hAnsiTheme="minorHAnsi"/>
          <w:color w:val="000000"/>
          <w:sz w:val="24"/>
          <w:szCs w:val="24"/>
        </w:rPr>
        <w:t>199.746.650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 kn što je za </w:t>
      </w:r>
      <w:r w:rsidR="00AF2F08">
        <w:rPr>
          <w:rFonts w:asciiTheme="minorHAnsi" w:eastAsiaTheme="minorHAnsi" w:hAnsiTheme="minorHAnsi"/>
          <w:color w:val="000000"/>
          <w:sz w:val="24"/>
          <w:szCs w:val="24"/>
        </w:rPr>
        <w:t>2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,</w:t>
      </w:r>
      <w:r w:rsidR="00AF2F08">
        <w:rPr>
          <w:rFonts w:asciiTheme="minorHAnsi" w:eastAsiaTheme="minorHAnsi" w:hAnsiTheme="minorHAnsi"/>
          <w:color w:val="000000"/>
          <w:sz w:val="24"/>
          <w:szCs w:val="24"/>
        </w:rPr>
        <w:t>36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 % </w:t>
      </w:r>
      <w:r w:rsidR="00AF2F08">
        <w:rPr>
          <w:rFonts w:asciiTheme="minorHAnsi" w:eastAsiaTheme="minorHAnsi" w:hAnsiTheme="minorHAnsi"/>
          <w:color w:val="000000"/>
          <w:sz w:val="24"/>
          <w:szCs w:val="24"/>
        </w:rPr>
        <w:t>manj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e nego plan za 202</w:t>
      </w:r>
      <w:r w:rsidR="009B74A6">
        <w:rPr>
          <w:rFonts w:asciiTheme="minorHAnsi" w:eastAsiaTheme="minorHAnsi" w:hAnsiTheme="minorHAnsi"/>
          <w:color w:val="000000"/>
          <w:sz w:val="24"/>
          <w:szCs w:val="24"/>
        </w:rPr>
        <w:t>1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.godinu</w:t>
      </w:r>
    </w:p>
    <w:p w14:paraId="7ADE386D" w14:textId="3CEC07F6" w:rsidR="00817D62" w:rsidRPr="00817D62" w:rsidRDefault="00817D62" w:rsidP="00697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ukupni rashodi i izdaci u iznosu od </w:t>
      </w:r>
      <w:r w:rsidR="009B74A6" w:rsidRPr="009B74A6">
        <w:rPr>
          <w:rFonts w:asciiTheme="minorHAnsi" w:eastAsiaTheme="minorHAnsi" w:hAnsiTheme="minorHAnsi"/>
          <w:color w:val="000000"/>
          <w:sz w:val="24"/>
          <w:szCs w:val="24"/>
        </w:rPr>
        <w:t>190.746.650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 kn što je za </w:t>
      </w:r>
      <w:r w:rsidR="00AF2F08">
        <w:rPr>
          <w:rFonts w:asciiTheme="minorHAnsi" w:eastAsiaTheme="minorHAnsi" w:hAnsiTheme="minorHAnsi"/>
          <w:color w:val="000000"/>
          <w:sz w:val="24"/>
          <w:szCs w:val="24"/>
        </w:rPr>
        <w:t>17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,</w:t>
      </w:r>
      <w:r w:rsidR="00AF2F08">
        <w:rPr>
          <w:rFonts w:asciiTheme="minorHAnsi" w:eastAsiaTheme="minorHAnsi" w:hAnsiTheme="minorHAnsi"/>
          <w:color w:val="000000"/>
          <w:sz w:val="24"/>
          <w:szCs w:val="24"/>
        </w:rPr>
        <w:t>50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 % </w:t>
      </w:r>
      <w:r w:rsidR="00AF2F08">
        <w:rPr>
          <w:rFonts w:asciiTheme="minorHAnsi" w:eastAsiaTheme="minorHAnsi" w:hAnsiTheme="minorHAnsi"/>
          <w:color w:val="000000"/>
          <w:sz w:val="24"/>
          <w:szCs w:val="24"/>
        </w:rPr>
        <w:t>manje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 nego plan za 202</w:t>
      </w:r>
      <w:r w:rsidR="009B74A6">
        <w:rPr>
          <w:rFonts w:asciiTheme="minorHAnsi" w:eastAsiaTheme="minorHAnsi" w:hAnsiTheme="minorHAnsi"/>
          <w:color w:val="000000"/>
          <w:sz w:val="24"/>
          <w:szCs w:val="24"/>
        </w:rPr>
        <w:t>1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.godinu</w:t>
      </w:r>
    </w:p>
    <w:p w14:paraId="3A27A602" w14:textId="5347368E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Kako je proračun za 202</w:t>
      </w:r>
      <w:r w:rsidR="00FF2A58">
        <w:rPr>
          <w:rFonts w:asciiTheme="minorHAnsi" w:eastAsiaTheme="minorHAnsi" w:hAnsiTheme="minorHAnsi"/>
          <w:color w:val="000000"/>
          <w:sz w:val="24"/>
          <w:szCs w:val="24"/>
        </w:rPr>
        <w:t>2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.godinu kreiran i na osnovu ostvarenja za period siječanj-listopad 202</w:t>
      </w:r>
      <w:r w:rsidR="00FF2A58">
        <w:rPr>
          <w:rFonts w:asciiTheme="minorHAnsi" w:eastAsiaTheme="minorHAnsi" w:hAnsiTheme="minorHAnsi"/>
          <w:color w:val="000000"/>
          <w:sz w:val="24"/>
          <w:szCs w:val="24"/>
        </w:rPr>
        <w:t>1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.godine , procjenjuje se da će </w:t>
      </w:r>
      <w:r w:rsidR="00FF2A58">
        <w:rPr>
          <w:rFonts w:asciiTheme="minorHAnsi" w:eastAsiaTheme="minorHAnsi" w:hAnsiTheme="minorHAnsi"/>
          <w:color w:val="000000"/>
          <w:sz w:val="24"/>
          <w:szCs w:val="24"/>
        </w:rPr>
        <w:t>manjak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 prihoda za prijenos u slijedeće godine iznositi </w:t>
      </w:r>
      <w:r w:rsidR="00553218">
        <w:rPr>
          <w:rFonts w:asciiTheme="minorHAnsi" w:eastAsiaTheme="minorHAnsi" w:hAnsiTheme="minorHAnsi"/>
          <w:color w:val="000000"/>
          <w:sz w:val="24"/>
          <w:szCs w:val="24"/>
        </w:rPr>
        <w:t>9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 mil.k</w:t>
      </w:r>
      <w:r w:rsidR="00FE5828">
        <w:rPr>
          <w:rFonts w:asciiTheme="minorHAnsi" w:eastAsiaTheme="minorHAnsi" w:hAnsiTheme="minorHAnsi"/>
          <w:color w:val="000000"/>
          <w:sz w:val="24"/>
          <w:szCs w:val="24"/>
        </w:rPr>
        <w:t>una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. </w:t>
      </w:r>
      <w:r w:rsidR="00FF2A58">
        <w:rPr>
          <w:rFonts w:asciiTheme="minorHAnsi" w:eastAsiaTheme="minorHAnsi" w:hAnsiTheme="minorHAnsi"/>
          <w:color w:val="000000"/>
          <w:sz w:val="24"/>
          <w:szCs w:val="24"/>
        </w:rPr>
        <w:t>Tijekom 2021.godine imali smo veliku investiciju kupnje prostora i zemljišta Kaštelanskih staklenika d.o.o.</w:t>
      </w:r>
      <w:r w:rsidR="00544317">
        <w:rPr>
          <w:rFonts w:asciiTheme="minorHAnsi" w:eastAsiaTheme="minorHAnsi" w:hAnsiTheme="minorHAnsi"/>
          <w:color w:val="000000"/>
          <w:sz w:val="24"/>
          <w:szCs w:val="24"/>
        </w:rPr>
        <w:t xml:space="preserve"> </w:t>
      </w:r>
      <w:r w:rsidR="00FF2A58">
        <w:rPr>
          <w:rFonts w:asciiTheme="minorHAnsi" w:eastAsiaTheme="minorHAnsi" w:hAnsiTheme="minorHAnsi"/>
          <w:color w:val="000000"/>
          <w:sz w:val="24"/>
          <w:szCs w:val="24"/>
        </w:rPr>
        <w:t xml:space="preserve">u stečaju u iznosu od preko 21 mil.kuna. Utjecaj pandemije Covid-19 na ukupno gospodarstvo je utjecao na ostvarenje prihoda tijekom 2021.godine. 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Navedeni </w:t>
      </w:r>
      <w:r w:rsidR="00FF2A58">
        <w:rPr>
          <w:rFonts w:asciiTheme="minorHAnsi" w:eastAsiaTheme="minorHAnsi" w:hAnsiTheme="minorHAnsi"/>
          <w:color w:val="000000"/>
          <w:sz w:val="24"/>
          <w:szCs w:val="24"/>
        </w:rPr>
        <w:t>manjak će</w:t>
      </w: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 se </w:t>
      </w:r>
      <w:r w:rsidR="00FF2A58">
        <w:rPr>
          <w:rFonts w:asciiTheme="minorHAnsi" w:eastAsiaTheme="minorHAnsi" w:hAnsiTheme="minorHAnsi"/>
          <w:color w:val="000000"/>
          <w:sz w:val="24"/>
          <w:szCs w:val="24"/>
        </w:rPr>
        <w:t>pokriti kroz prihode 2022.godine kad se očekuje oporavak gospodarstva</w:t>
      </w:r>
      <w:r w:rsidR="00FE5828">
        <w:rPr>
          <w:rFonts w:asciiTheme="minorHAnsi" w:eastAsiaTheme="minorHAnsi" w:hAnsiTheme="minorHAnsi"/>
          <w:color w:val="000000"/>
          <w:sz w:val="24"/>
          <w:szCs w:val="24"/>
        </w:rPr>
        <w:t xml:space="preserve"> i povećanje prihoda</w:t>
      </w:r>
      <w:r w:rsidR="000A5B53">
        <w:rPr>
          <w:rFonts w:asciiTheme="minorHAnsi" w:eastAsiaTheme="minorHAnsi" w:hAnsiTheme="minorHAnsi"/>
          <w:color w:val="000000"/>
          <w:sz w:val="24"/>
          <w:szCs w:val="24"/>
        </w:rPr>
        <w:t xml:space="preserve"> što je najavila i Europska komisija kraj</w:t>
      </w:r>
      <w:r w:rsidR="00BD3F67">
        <w:rPr>
          <w:rFonts w:asciiTheme="minorHAnsi" w:eastAsiaTheme="minorHAnsi" w:hAnsiTheme="minorHAnsi"/>
          <w:color w:val="000000"/>
          <w:sz w:val="24"/>
          <w:szCs w:val="24"/>
        </w:rPr>
        <w:t>e</w:t>
      </w:r>
      <w:r w:rsidR="000A5B53">
        <w:rPr>
          <w:rFonts w:asciiTheme="minorHAnsi" w:eastAsiaTheme="minorHAnsi" w:hAnsiTheme="minorHAnsi"/>
          <w:color w:val="000000"/>
          <w:sz w:val="24"/>
          <w:szCs w:val="24"/>
        </w:rPr>
        <w:t>m studenog 2021.godine izjavivši da se gospodarstvo oporavlja od pandemijske recesije brže od očekivanog</w:t>
      </w:r>
      <w:r w:rsidR="00FF2A58">
        <w:rPr>
          <w:rFonts w:asciiTheme="minorHAnsi" w:eastAsiaTheme="minorHAnsi" w:hAnsiTheme="minorHAnsi"/>
          <w:color w:val="000000"/>
          <w:sz w:val="24"/>
          <w:szCs w:val="24"/>
        </w:rPr>
        <w:t>.</w:t>
      </w:r>
      <w:r w:rsidR="008C316A">
        <w:rPr>
          <w:rFonts w:asciiTheme="minorHAnsi" w:eastAsiaTheme="minorHAnsi" w:hAnsiTheme="minorHAnsi"/>
          <w:color w:val="000000"/>
          <w:sz w:val="24"/>
          <w:szCs w:val="24"/>
        </w:rPr>
        <w:t xml:space="preserve"> </w:t>
      </w:r>
    </w:p>
    <w:p w14:paraId="1E1870AC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</w:p>
    <w:p w14:paraId="2AA73713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lastRenderedPageBreak/>
        <w:t xml:space="preserve">Prioriteti financiranja javnih rashoda i izdataka prema kojima je izrađen Proračun Grada Kaštela odražavaju nastojanja da se osigura </w:t>
      </w:r>
      <w:r w:rsidRPr="00817D62">
        <w:rPr>
          <w:rFonts w:asciiTheme="minorHAnsi" w:eastAsiaTheme="minorHAnsi" w:hAnsiTheme="minorHAnsi"/>
          <w:sz w:val="24"/>
          <w:szCs w:val="24"/>
        </w:rPr>
        <w:t xml:space="preserve">postizanje trajnog cilja a to je poboljšanje kvalitete življenja te kvalitetniji i ravnomjerniji razvoj Grada. </w:t>
      </w:r>
    </w:p>
    <w:p w14:paraId="6BF89D68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817D62">
        <w:rPr>
          <w:rFonts w:asciiTheme="minorHAnsi" w:eastAsiaTheme="minorHAnsi" w:hAnsiTheme="minorHAnsi"/>
          <w:sz w:val="24"/>
          <w:szCs w:val="24"/>
        </w:rPr>
        <w:t xml:space="preserve">Prioriteti su: </w:t>
      </w:r>
    </w:p>
    <w:p w14:paraId="3BBB7FE4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817D62">
        <w:rPr>
          <w:rFonts w:asciiTheme="minorHAnsi" w:eastAsiaTheme="minorHAnsi" w:hAnsiTheme="minorHAnsi"/>
          <w:sz w:val="24"/>
          <w:szCs w:val="24"/>
        </w:rPr>
        <w:t xml:space="preserve">- održavanje postignute i podizanje kvalitete sveukupne komunalne infrastrukture </w:t>
      </w:r>
    </w:p>
    <w:p w14:paraId="232610E4" w14:textId="77777777" w:rsidR="00817D62" w:rsidRPr="00817D62" w:rsidRDefault="00817D62" w:rsidP="00817D62">
      <w:pPr>
        <w:autoSpaceDE w:val="0"/>
        <w:autoSpaceDN w:val="0"/>
        <w:adjustRightInd w:val="0"/>
        <w:spacing w:after="27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817D62">
        <w:rPr>
          <w:rFonts w:asciiTheme="minorHAnsi" w:eastAsiaTheme="minorHAnsi" w:hAnsiTheme="minorHAnsi"/>
          <w:sz w:val="24"/>
          <w:szCs w:val="24"/>
        </w:rPr>
        <w:t xml:space="preserve">- briga o zdravlju i socijalnoj sigurnosti </w:t>
      </w:r>
    </w:p>
    <w:p w14:paraId="0662C41D" w14:textId="77777777" w:rsidR="00817D62" w:rsidRPr="00817D62" w:rsidRDefault="00817D62" w:rsidP="00817D62">
      <w:pPr>
        <w:autoSpaceDE w:val="0"/>
        <w:autoSpaceDN w:val="0"/>
        <w:adjustRightInd w:val="0"/>
        <w:spacing w:after="27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817D62">
        <w:rPr>
          <w:rFonts w:asciiTheme="minorHAnsi" w:eastAsiaTheme="minorHAnsi" w:hAnsiTheme="minorHAnsi"/>
          <w:sz w:val="24"/>
          <w:szCs w:val="24"/>
        </w:rPr>
        <w:t xml:space="preserve">- promoviranje i poticanje kulturnih događanja, te očuvanje i obnova gradske i spomeničke baštine </w:t>
      </w:r>
    </w:p>
    <w:p w14:paraId="160A3260" w14:textId="77777777" w:rsidR="00817D62" w:rsidRPr="00817D62" w:rsidRDefault="00817D62" w:rsidP="00817D62">
      <w:pPr>
        <w:autoSpaceDE w:val="0"/>
        <w:autoSpaceDN w:val="0"/>
        <w:adjustRightInd w:val="0"/>
        <w:spacing w:after="27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817D62">
        <w:rPr>
          <w:rFonts w:asciiTheme="minorHAnsi" w:eastAsiaTheme="minorHAnsi" w:hAnsiTheme="minorHAnsi"/>
          <w:sz w:val="24"/>
          <w:szCs w:val="24"/>
        </w:rPr>
        <w:t xml:space="preserve">- trajno poticanje malog i srednjeg poduzetništva </w:t>
      </w:r>
    </w:p>
    <w:p w14:paraId="203B5C4D" w14:textId="77777777" w:rsidR="00817D62" w:rsidRPr="00817D62" w:rsidRDefault="00817D62" w:rsidP="00817D62">
      <w:pPr>
        <w:autoSpaceDE w:val="0"/>
        <w:autoSpaceDN w:val="0"/>
        <w:adjustRightInd w:val="0"/>
        <w:spacing w:after="27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817D62">
        <w:rPr>
          <w:rFonts w:asciiTheme="minorHAnsi" w:eastAsiaTheme="minorHAnsi" w:hAnsiTheme="minorHAnsi"/>
          <w:sz w:val="24"/>
          <w:szCs w:val="24"/>
        </w:rPr>
        <w:t xml:space="preserve">- razvoj turizma i ostalih djelatnosti s tim u vezi </w:t>
      </w:r>
    </w:p>
    <w:p w14:paraId="2050BE22" w14:textId="77777777" w:rsidR="00817D62" w:rsidRPr="00817D62" w:rsidRDefault="00817D62" w:rsidP="00817D62">
      <w:pPr>
        <w:autoSpaceDE w:val="0"/>
        <w:autoSpaceDN w:val="0"/>
        <w:adjustRightInd w:val="0"/>
        <w:spacing w:after="27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817D62">
        <w:rPr>
          <w:rFonts w:asciiTheme="minorHAnsi" w:eastAsiaTheme="minorHAnsi" w:hAnsiTheme="minorHAnsi"/>
          <w:sz w:val="24"/>
          <w:szCs w:val="24"/>
        </w:rPr>
        <w:t xml:space="preserve">- povlačenje sredstava iz fondova EU </w:t>
      </w:r>
    </w:p>
    <w:p w14:paraId="549ACEC1" w14:textId="77777777" w:rsidR="00817D62" w:rsidRPr="00817D62" w:rsidRDefault="00817D62" w:rsidP="00817D62">
      <w:pPr>
        <w:autoSpaceDE w:val="0"/>
        <w:autoSpaceDN w:val="0"/>
        <w:adjustRightInd w:val="0"/>
        <w:spacing w:after="27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817D62">
        <w:rPr>
          <w:rFonts w:asciiTheme="minorHAnsi" w:eastAsiaTheme="minorHAnsi" w:hAnsiTheme="minorHAnsi"/>
          <w:sz w:val="24"/>
          <w:szCs w:val="24"/>
        </w:rPr>
        <w:t xml:space="preserve">- funkcionalnost i učinkovitost gradske uprave </w:t>
      </w:r>
    </w:p>
    <w:p w14:paraId="51FAA8FD" w14:textId="77777777" w:rsidR="00817D62" w:rsidRPr="00817D62" w:rsidRDefault="00817D62" w:rsidP="00817D62">
      <w:pPr>
        <w:autoSpaceDE w:val="0"/>
        <w:autoSpaceDN w:val="0"/>
        <w:adjustRightInd w:val="0"/>
        <w:spacing w:after="27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817D62">
        <w:rPr>
          <w:rFonts w:asciiTheme="minorHAnsi" w:eastAsiaTheme="minorHAnsi" w:hAnsiTheme="minorHAnsi"/>
          <w:sz w:val="24"/>
          <w:szCs w:val="24"/>
        </w:rPr>
        <w:t xml:space="preserve">- informatizacija </w:t>
      </w:r>
    </w:p>
    <w:p w14:paraId="1831DAD0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4"/>
          <w:szCs w:val="24"/>
        </w:rPr>
      </w:pPr>
      <w:r w:rsidRPr="00817D62">
        <w:rPr>
          <w:rFonts w:asciiTheme="minorHAnsi" w:eastAsiaTheme="minorHAnsi" w:hAnsiTheme="minorHAnsi"/>
          <w:sz w:val="24"/>
          <w:szCs w:val="24"/>
        </w:rPr>
        <w:t xml:space="preserve">- upravljanje imovinom i dr. </w:t>
      </w:r>
    </w:p>
    <w:p w14:paraId="4BA41C6D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4"/>
          <w:szCs w:val="24"/>
        </w:rPr>
      </w:pPr>
    </w:p>
    <w:p w14:paraId="3E6C3B4F" w14:textId="72DE3859" w:rsidR="002C4167" w:rsidRDefault="00817D62" w:rsidP="00D13B0B">
      <w:pPr>
        <w:contextualSpacing/>
        <w:jc w:val="both"/>
        <w:rPr>
          <w:rFonts w:asciiTheme="minorHAnsi" w:eastAsia="Calibri" w:hAnsiTheme="minorHAnsi" w:cs="Arial"/>
          <w:sz w:val="24"/>
          <w:szCs w:val="24"/>
        </w:rPr>
      </w:pPr>
      <w:r w:rsidRPr="00817D62">
        <w:rPr>
          <w:rFonts w:asciiTheme="minorHAnsi" w:eastAsia="Calibri" w:hAnsiTheme="minorHAnsi" w:cs="Arial"/>
          <w:sz w:val="24"/>
          <w:szCs w:val="24"/>
        </w:rPr>
        <w:t>Kretanje prihoda i primitaka</w:t>
      </w:r>
      <w:r w:rsidRPr="00817D62">
        <w:rPr>
          <w:rFonts w:asciiTheme="minorHAnsi" w:eastAsiaTheme="minorHAnsi" w:hAnsiTheme="minorHAnsi" w:cs="Arial"/>
          <w:sz w:val="24"/>
          <w:szCs w:val="24"/>
        </w:rPr>
        <w:t xml:space="preserve"> te rashoda i izdataka</w:t>
      </w:r>
      <w:r w:rsidRPr="00817D62">
        <w:rPr>
          <w:rFonts w:asciiTheme="minorHAnsi" w:eastAsia="Calibri" w:hAnsiTheme="minorHAnsi" w:cs="Arial"/>
          <w:sz w:val="24"/>
          <w:szCs w:val="24"/>
        </w:rPr>
        <w:t xml:space="preserve"> u prethodnim godinama, plan za 202</w:t>
      </w:r>
      <w:r w:rsidR="00D13B0B">
        <w:rPr>
          <w:rFonts w:asciiTheme="minorHAnsi" w:eastAsia="Calibri" w:hAnsiTheme="minorHAnsi" w:cs="Arial"/>
          <w:sz w:val="24"/>
          <w:szCs w:val="24"/>
        </w:rPr>
        <w:t>2</w:t>
      </w:r>
      <w:r w:rsidRPr="00817D62">
        <w:rPr>
          <w:rFonts w:asciiTheme="minorHAnsi" w:eastAsia="Calibri" w:hAnsiTheme="minorHAnsi" w:cs="Arial"/>
          <w:sz w:val="24"/>
          <w:szCs w:val="24"/>
        </w:rPr>
        <w:t>. s projekcijama za 202</w:t>
      </w:r>
      <w:r w:rsidR="00D13B0B">
        <w:rPr>
          <w:rFonts w:asciiTheme="minorHAnsi" w:eastAsia="Calibri" w:hAnsiTheme="minorHAnsi" w:cs="Arial"/>
          <w:sz w:val="24"/>
          <w:szCs w:val="24"/>
        </w:rPr>
        <w:t>3</w:t>
      </w:r>
      <w:r w:rsidRPr="00817D62">
        <w:rPr>
          <w:rFonts w:asciiTheme="minorHAnsi" w:eastAsia="Calibri" w:hAnsiTheme="minorHAnsi" w:cs="Arial"/>
          <w:sz w:val="24"/>
          <w:szCs w:val="24"/>
        </w:rPr>
        <w:t>. i 202</w:t>
      </w:r>
      <w:r w:rsidR="00D13B0B">
        <w:rPr>
          <w:rFonts w:asciiTheme="minorHAnsi" w:eastAsia="Calibri" w:hAnsiTheme="minorHAnsi" w:cs="Arial"/>
          <w:sz w:val="24"/>
          <w:szCs w:val="24"/>
        </w:rPr>
        <w:t>4</w:t>
      </w:r>
      <w:r w:rsidRPr="00817D62">
        <w:rPr>
          <w:rFonts w:asciiTheme="minorHAnsi" w:eastAsia="Calibri" w:hAnsiTheme="minorHAnsi" w:cs="Arial"/>
          <w:sz w:val="24"/>
          <w:szCs w:val="24"/>
        </w:rPr>
        <w:t>. godinu prikazani su u slijedećoj tabeli:</w:t>
      </w:r>
      <w:r w:rsidR="00D13B0B">
        <w:rPr>
          <w:rFonts w:asciiTheme="minorHAnsi" w:eastAsia="Calibri" w:hAnsiTheme="minorHAnsi" w:cs="Arial"/>
          <w:sz w:val="24"/>
          <w:szCs w:val="24"/>
        </w:rPr>
        <w:t xml:space="preserve"> </w:t>
      </w:r>
    </w:p>
    <w:p w14:paraId="0ADB369D" w14:textId="1819251A" w:rsidR="001D7B27" w:rsidRDefault="001D7B27" w:rsidP="002C4167">
      <w:pPr>
        <w:contextualSpacing/>
        <w:jc w:val="both"/>
        <w:rPr>
          <w:rFonts w:asciiTheme="minorHAnsi" w:eastAsia="Calibri" w:hAnsiTheme="minorHAnsi" w:cs="Arial"/>
          <w:sz w:val="24"/>
          <w:szCs w:val="24"/>
        </w:rPr>
      </w:pPr>
      <w:r>
        <w:rPr>
          <w:rFonts w:asciiTheme="minorHAnsi" w:eastAsia="Calibri" w:hAnsiTheme="minorHAnsi" w:cs="Arial"/>
          <w:sz w:val="24"/>
          <w:szCs w:val="24"/>
        </w:rPr>
        <w:t xml:space="preserve"> </w:t>
      </w:r>
      <w:r w:rsidR="0081693B" w:rsidRPr="0081693B">
        <w:rPr>
          <w:rFonts w:eastAsia="Calibri"/>
          <w:noProof/>
        </w:rPr>
        <w:drawing>
          <wp:inline distT="0" distB="0" distL="0" distR="0" wp14:anchorId="7686A4C3" wp14:editId="49AC4E7E">
            <wp:extent cx="6251575" cy="19621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623" cy="197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C012F" w14:textId="77777777" w:rsidR="00817D62" w:rsidRPr="00817D62" w:rsidRDefault="00817D62" w:rsidP="00817D62">
      <w:pPr>
        <w:contextualSpacing/>
        <w:jc w:val="both"/>
        <w:rPr>
          <w:rFonts w:asciiTheme="minorHAnsi" w:eastAsia="Calibri" w:hAnsiTheme="minorHAnsi" w:cs="Arial"/>
          <w:sz w:val="24"/>
          <w:szCs w:val="24"/>
        </w:rPr>
      </w:pPr>
    </w:p>
    <w:p w14:paraId="653653D2" w14:textId="7806C3F3" w:rsid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</w:rPr>
      </w:pPr>
      <w:r w:rsidRPr="00817D62">
        <w:rPr>
          <w:rFonts w:asciiTheme="minorHAnsi" w:eastAsiaTheme="minorHAnsi" w:hAnsiTheme="minorHAnsi"/>
        </w:rPr>
        <w:t>Grafički prikaz gornje tabele:</w:t>
      </w:r>
    </w:p>
    <w:p w14:paraId="369829E1" w14:textId="58E0F4B8" w:rsidR="00C944FD" w:rsidRDefault="00D13B0B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</w:rPr>
      </w:pPr>
      <w:r>
        <w:rPr>
          <w:noProof/>
        </w:rPr>
        <w:drawing>
          <wp:inline distT="0" distB="0" distL="0" distR="0" wp14:anchorId="49191002" wp14:editId="43E3351E">
            <wp:extent cx="5972175" cy="2857500"/>
            <wp:effectExtent l="19050" t="19050" r="9525" b="19050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B04269E5-B027-437F-9EBB-D64E16A114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6AEB79" w14:textId="77777777" w:rsidR="00817D62" w:rsidRPr="00C027A0" w:rsidRDefault="009334AA" w:rsidP="009334AA">
      <w:pPr>
        <w:pStyle w:val="Naslov2"/>
        <w:rPr>
          <w:sz w:val="26"/>
          <w:szCs w:val="26"/>
        </w:rPr>
      </w:pPr>
      <w:bookmarkStart w:id="8" w:name="_Toc88555238"/>
      <w:r w:rsidRPr="00C027A0">
        <w:rPr>
          <w:sz w:val="26"/>
          <w:szCs w:val="26"/>
        </w:rPr>
        <w:t xml:space="preserve">2.1. </w:t>
      </w:r>
      <w:r w:rsidR="00817D62" w:rsidRPr="00C027A0">
        <w:rPr>
          <w:sz w:val="26"/>
          <w:szCs w:val="26"/>
        </w:rPr>
        <w:t>PRIHODI I PRIMICI</w:t>
      </w:r>
      <w:bookmarkEnd w:id="8"/>
    </w:p>
    <w:p w14:paraId="13D835A2" w14:textId="77777777" w:rsidR="00817D62" w:rsidRDefault="00817D62" w:rsidP="00071598">
      <w:pPr>
        <w:suppressAutoHyphens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88E55ED" w14:textId="66ED06CA" w:rsidR="00817D62" w:rsidRPr="00817D62" w:rsidRDefault="00817D62" w:rsidP="00817D62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817D62">
        <w:rPr>
          <w:rFonts w:asciiTheme="minorHAnsi" w:eastAsia="Calibri" w:hAnsiTheme="minorHAnsi" w:cs="Calibri"/>
          <w:sz w:val="24"/>
          <w:szCs w:val="24"/>
        </w:rPr>
        <w:t>Prijedlog Proračuna Grada Kaštela za 202</w:t>
      </w:r>
      <w:r w:rsidR="00622FEC">
        <w:rPr>
          <w:rFonts w:asciiTheme="minorHAnsi" w:eastAsia="Calibri" w:hAnsiTheme="minorHAnsi" w:cs="Calibri"/>
          <w:sz w:val="24"/>
          <w:szCs w:val="24"/>
        </w:rPr>
        <w:t>2</w:t>
      </w:r>
      <w:r w:rsidRPr="00817D62">
        <w:rPr>
          <w:rFonts w:asciiTheme="minorHAnsi" w:eastAsia="Calibri" w:hAnsiTheme="minorHAnsi" w:cs="Calibri"/>
          <w:sz w:val="24"/>
          <w:szCs w:val="24"/>
        </w:rPr>
        <w:t xml:space="preserve">. godinu (ukupni prihodi i primici) procjenjuju se na </w:t>
      </w:r>
      <w:r w:rsidR="00622FEC" w:rsidRPr="00622FEC">
        <w:rPr>
          <w:rFonts w:asciiTheme="minorHAnsi" w:eastAsia="Calibri" w:hAnsiTheme="minorHAnsi" w:cs="Calibri"/>
          <w:sz w:val="24"/>
          <w:szCs w:val="24"/>
        </w:rPr>
        <w:t>199.746.650</w:t>
      </w:r>
      <w:r w:rsidRPr="00817D62">
        <w:rPr>
          <w:rFonts w:asciiTheme="minorHAnsi" w:eastAsia="Calibri" w:hAnsiTheme="minorHAnsi" w:cs="Calibri"/>
          <w:sz w:val="24"/>
          <w:szCs w:val="24"/>
        </w:rPr>
        <w:t xml:space="preserve"> kuna </w:t>
      </w:r>
      <w:r w:rsidR="00622FEC" w:rsidRPr="00622FEC">
        <w:rPr>
          <w:rFonts w:asciiTheme="minorHAnsi" w:eastAsia="Calibri" w:hAnsiTheme="minorHAnsi" w:cs="Calibri"/>
          <w:sz w:val="24"/>
          <w:szCs w:val="24"/>
        </w:rPr>
        <w:t>što je za 2,36 % manje nego plan za 2021.godinu</w:t>
      </w:r>
      <w:r w:rsidRPr="00817D62">
        <w:rPr>
          <w:rFonts w:asciiTheme="minorHAnsi" w:eastAsia="Calibri" w:hAnsiTheme="minorHAnsi" w:cs="Calibri"/>
          <w:sz w:val="24"/>
          <w:szCs w:val="24"/>
        </w:rPr>
        <w:t>.</w:t>
      </w:r>
    </w:p>
    <w:p w14:paraId="37834947" w14:textId="305CD763" w:rsid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4"/>
          <w:szCs w:val="24"/>
        </w:rPr>
      </w:pPr>
      <w:r w:rsidRPr="00817D62">
        <w:rPr>
          <w:rFonts w:asciiTheme="minorHAnsi" w:eastAsiaTheme="minorHAnsi" w:hAnsiTheme="minorHAnsi"/>
          <w:sz w:val="24"/>
          <w:szCs w:val="24"/>
        </w:rPr>
        <w:t>Struktura prihoda prema planu za 202</w:t>
      </w:r>
      <w:r w:rsidR="00622FEC">
        <w:rPr>
          <w:rFonts w:asciiTheme="minorHAnsi" w:eastAsiaTheme="minorHAnsi" w:hAnsiTheme="minorHAnsi"/>
          <w:sz w:val="24"/>
          <w:szCs w:val="24"/>
        </w:rPr>
        <w:t>2</w:t>
      </w:r>
      <w:r w:rsidRPr="00817D62">
        <w:rPr>
          <w:rFonts w:asciiTheme="minorHAnsi" w:eastAsiaTheme="minorHAnsi" w:hAnsiTheme="minorHAnsi"/>
          <w:sz w:val="24"/>
          <w:szCs w:val="24"/>
        </w:rPr>
        <w:t>.godinu: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77"/>
        <w:gridCol w:w="3329"/>
        <w:gridCol w:w="1134"/>
        <w:gridCol w:w="1134"/>
        <w:gridCol w:w="1134"/>
        <w:gridCol w:w="851"/>
        <w:gridCol w:w="992"/>
      </w:tblGrid>
      <w:tr w:rsidR="00A25E20" w:rsidRPr="00A25E20" w14:paraId="6509CC14" w14:textId="77777777" w:rsidTr="00A25E20"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0357F5" w14:textId="77777777" w:rsidR="00A25E20" w:rsidRPr="00A25E20" w:rsidRDefault="00A25E20" w:rsidP="00A25E2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6520123" w14:textId="77777777" w:rsidR="00A25E20" w:rsidRPr="00A25E20" w:rsidRDefault="00A25E20" w:rsidP="00A25E2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0258DC" w14:textId="77777777" w:rsidR="00A25E20" w:rsidRPr="00A25E20" w:rsidRDefault="00A25E20" w:rsidP="00A25E2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17ABC9" w14:textId="77777777" w:rsidR="00A25E20" w:rsidRPr="00A25E20" w:rsidRDefault="00A25E20" w:rsidP="00A25E2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b/>
                <w:bCs/>
                <w:sz w:val="18"/>
                <w:szCs w:val="18"/>
                <w:lang w:eastAsia="hr-HR"/>
              </w:rPr>
              <w:t>Razlika 2022-2021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26433E" w14:textId="77777777" w:rsidR="00A25E20" w:rsidRPr="00A25E20" w:rsidRDefault="00A25E20" w:rsidP="00A25E2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EE79DD" w14:textId="77777777" w:rsidR="00A25E20" w:rsidRPr="00A25E20" w:rsidRDefault="00A25E20" w:rsidP="00A25E2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0C5F30C" w14:textId="77777777" w:rsidR="00A25E20" w:rsidRPr="00A25E20" w:rsidRDefault="00A25E20" w:rsidP="00A25E2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b/>
                <w:bCs/>
                <w:sz w:val="18"/>
                <w:szCs w:val="18"/>
                <w:lang w:eastAsia="hr-HR"/>
              </w:rPr>
              <w:t>Udjel 2022.</w:t>
            </w:r>
          </w:p>
        </w:tc>
      </w:tr>
      <w:tr w:rsidR="00A25E20" w:rsidRPr="00A25E20" w14:paraId="6CC23701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085C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9D3F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Porez i prirez na dohodak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3BF9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79.760.000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A13D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240.000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7C92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80.000.000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DDF4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100,30%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CF94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40,05%</w:t>
            </w:r>
          </w:p>
        </w:tc>
      </w:tr>
      <w:tr w:rsidR="00A25E20" w:rsidRPr="00A25E20" w14:paraId="07AC14D4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242F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613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24F9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Porezi na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2EB6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11.100.000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D62E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2.400.000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894A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13.500.000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A8EA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121,62%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C1FE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6,76%</w:t>
            </w:r>
          </w:p>
        </w:tc>
      </w:tr>
      <w:tr w:rsidR="00A25E20" w:rsidRPr="00A25E20" w14:paraId="57C4135E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BD8A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3DA3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Porezi na robu i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5C45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605.000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BCE7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700.000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AAE2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1.305.000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6615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215,70%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3D7F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0,65%</w:t>
            </w:r>
          </w:p>
        </w:tc>
      </w:tr>
      <w:tr w:rsidR="00A25E20" w:rsidRPr="00A25E20" w14:paraId="4C737536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DC03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616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10EB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Ostali prihodi od poreza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D931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1420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FC0C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2BD4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B31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0,01%</w:t>
            </w:r>
          </w:p>
        </w:tc>
      </w:tr>
      <w:tr w:rsidR="00A25E20" w:rsidRPr="00A25E20" w14:paraId="3CD5BD4F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6D5D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632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4CF9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međunarodnih organizacija te institucija i tijela 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AB2C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3.593.000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9219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-1.768.000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9E20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1.825.000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11AE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50,79%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3B2B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0,91%</w:t>
            </w:r>
          </w:p>
        </w:tc>
      </w:tr>
      <w:tr w:rsidR="00A25E20" w:rsidRPr="00A25E20" w14:paraId="08FEF7F0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4D9F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C95E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Pomoći proračunu iz drugih proračuna i izvanproračunskim korisnicima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F7B0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22.040.000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DAED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-350.000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9496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21.690.000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F3D7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98,41%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6589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10,86%</w:t>
            </w:r>
          </w:p>
        </w:tc>
      </w:tr>
      <w:tr w:rsidR="00A25E20" w:rsidRPr="00A25E20" w14:paraId="49358882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6A62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1448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F076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6.973.200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C4B2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-473.200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B4BD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6.500.000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627F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93,21%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5F94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3,25%</w:t>
            </w:r>
          </w:p>
        </w:tc>
      </w:tr>
      <w:tr w:rsidR="00A25E20" w:rsidRPr="00A25E20" w14:paraId="70639590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B19A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635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3AA3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Pomoći izravnanja za decentralizirane funkcije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42F3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1.750.000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45E8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-1.750.000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C91F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7D0E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7746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A25E20" w:rsidRPr="00A25E20" w14:paraId="7B34D919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AD0C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8964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Pomoći proračunskim korisnicima iz proračuna koji im nije nadležan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879D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432.800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540C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81.500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2B2B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514.300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1685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118,83%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B691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0,26%</w:t>
            </w:r>
          </w:p>
        </w:tc>
      </w:tr>
      <w:tr w:rsidR="00A25E20" w:rsidRPr="00A25E20" w14:paraId="00C8CD54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A12C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F006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Pomoći  temeljem prijenosa EU sredstava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E441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10.278.102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75CB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-3.425.602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C0F7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6.852.500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A3DE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66,67%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30D9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3,43%</w:t>
            </w:r>
          </w:p>
        </w:tc>
      </w:tr>
      <w:tr w:rsidR="00A25E20" w:rsidRPr="00A25E20" w14:paraId="758CEB92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B07C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5BE5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0CCF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111.000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54A0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100.100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6FA4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211.100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C788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190,18%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AE43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0,11%</w:t>
            </w:r>
          </w:p>
        </w:tc>
      </w:tr>
      <w:tr w:rsidR="00A25E20" w:rsidRPr="00A25E20" w14:paraId="6426B51B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38D3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C900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Prihodi od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D061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6.290.800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E8BC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409.200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69C8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6.700.000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16AB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106,50%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5F03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3,35%</w:t>
            </w:r>
          </w:p>
        </w:tc>
      </w:tr>
      <w:tr w:rsidR="00A25E20" w:rsidRPr="00A25E20" w14:paraId="3814CD2D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A8EF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651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ABFF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Administrativne (upravne) pristojbe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20F1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1.650.000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8616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A6E0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1.950.000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B1A5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118,18%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F1B7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0,98%</w:t>
            </w:r>
          </w:p>
        </w:tc>
      </w:tr>
      <w:tr w:rsidR="00A25E20" w:rsidRPr="00A25E20" w14:paraId="5D313F92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0D12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1739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BB94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14.429.665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D662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-3.748.265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6197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10.681.400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BE96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74,02%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6D71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5,35%</w:t>
            </w:r>
          </w:p>
        </w:tc>
      </w:tr>
      <w:tr w:rsidR="00A25E20" w:rsidRPr="00A25E20" w14:paraId="42C29569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B4BB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4AF8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Komunalni doprinosi i naknade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C830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40.910.000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A6D7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2.100.000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51EF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43.010.000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10C5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105,13%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3253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21,53%</w:t>
            </w:r>
          </w:p>
        </w:tc>
      </w:tr>
      <w:tr w:rsidR="00A25E20" w:rsidRPr="00A25E20" w14:paraId="109EEF9C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AF44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A089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Prihodi od prodaje proizvoda i robe te pruženih usluga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A9FF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1.325.643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69CA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-25.043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2F2A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1.300.600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54B9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98,11%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F76D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0,65%</w:t>
            </w:r>
          </w:p>
        </w:tc>
      </w:tr>
      <w:tr w:rsidR="00A25E20" w:rsidRPr="00A25E20" w14:paraId="080B0ECE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F370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D945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Donacije od pravnih i fizičkih osoba izvan općeg proračuna i povrat donacija po protestiranim jamstvima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EDC8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1.686.000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D098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-236.000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473D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1.450.000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B7EB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86,00%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7429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0,73%</w:t>
            </w:r>
          </w:p>
        </w:tc>
      </w:tr>
      <w:tr w:rsidR="00A25E20" w:rsidRPr="00A25E20" w14:paraId="692F7695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BA5F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9791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Kazne i upravne pristojbe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7356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320.000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8608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A7F1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428.000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8384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133,75%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5D48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0,21%</w:t>
            </w:r>
          </w:p>
        </w:tc>
      </w:tr>
      <w:tr w:rsidR="00A25E20" w:rsidRPr="00A25E20" w14:paraId="464575BB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33D4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683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35F6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186D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E350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6C79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33E7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E581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0,05%</w:t>
            </w:r>
          </w:p>
        </w:tc>
      </w:tr>
      <w:tr w:rsidR="00A25E20" w:rsidRPr="00A25E20" w14:paraId="06580A86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681D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10ED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Prihodi od prodaje materijalne imovine - prirodnih bogatstava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3F9E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8357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-900.000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6CA8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50E2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BE80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0,05%</w:t>
            </w:r>
          </w:p>
        </w:tc>
      </w:tr>
      <w:tr w:rsidR="00A25E20" w:rsidRPr="00A25E20" w14:paraId="79A78FAA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57DF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721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F1C2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Prihodi od prodaje građevinskih objekata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811B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DCA7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-100.000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9F40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3703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50,00%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42FC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0,05%</w:t>
            </w:r>
          </w:p>
        </w:tc>
      </w:tr>
      <w:tr w:rsidR="00A25E20" w:rsidRPr="00A25E20" w14:paraId="244EAC89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6FF5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722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E5F2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Prihodi od prodaje postrojenja i opreme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2385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2.100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7E69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-2.100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347E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C860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D56E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A25E20" w:rsidRPr="00A25E20" w14:paraId="0456B90D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D9DC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844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C1CF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Primljeni zajmovi od kreditnih i ostalih financijskih institucija izvan javnog sektora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9D4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C582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1.518.750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EE9B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1.518.750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9D1B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E4C2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color w:val="000000"/>
                <w:sz w:val="18"/>
                <w:szCs w:val="18"/>
                <w:lang w:eastAsia="hr-HR"/>
              </w:rPr>
              <w:t>0,76%</w:t>
            </w:r>
          </w:p>
        </w:tc>
      </w:tr>
      <w:tr w:rsidR="00A25E20" w:rsidRPr="00A25E20" w14:paraId="4AD3FCFA" w14:textId="77777777" w:rsidTr="00A25E2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05E1A5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AE3A15" w14:textId="77777777" w:rsidR="00A25E20" w:rsidRPr="00A25E20" w:rsidRDefault="00A25E20" w:rsidP="00A25E2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F6E184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b/>
                <w:bCs/>
                <w:sz w:val="18"/>
                <w:szCs w:val="18"/>
                <w:lang w:eastAsia="hr-HR"/>
              </w:rPr>
              <w:t>204.567.310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A364D08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b/>
                <w:bCs/>
                <w:sz w:val="18"/>
                <w:szCs w:val="18"/>
                <w:lang w:eastAsia="hr-HR"/>
              </w:rPr>
              <w:t>-4.820.660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0362211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b/>
                <w:bCs/>
                <w:sz w:val="18"/>
                <w:szCs w:val="18"/>
                <w:lang w:eastAsia="hr-HR"/>
              </w:rPr>
              <w:t>199.746.650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C5D12C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b/>
                <w:bCs/>
                <w:sz w:val="18"/>
                <w:szCs w:val="18"/>
                <w:lang w:eastAsia="hr-HR"/>
              </w:rPr>
              <w:t>97,64%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AF66D83" w14:textId="77777777" w:rsidR="00A25E20" w:rsidRPr="00A25E20" w:rsidRDefault="00A25E20" w:rsidP="00A25E20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25E20">
              <w:rPr>
                <w:rFonts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74BFB18D" w14:textId="790B5E16" w:rsidR="00A25E20" w:rsidRDefault="00A25E20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4"/>
          <w:szCs w:val="24"/>
        </w:rPr>
      </w:pPr>
    </w:p>
    <w:p w14:paraId="4425798A" w14:textId="3FB3270F" w:rsidR="00A25E20" w:rsidRDefault="008E57DF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 wp14:anchorId="56EE5047" wp14:editId="51F1CF76">
            <wp:extent cx="5939790" cy="7391400"/>
            <wp:effectExtent l="19050" t="19050" r="22860" b="19050"/>
            <wp:docPr id="7" name="Grafikon 7">
              <a:extLst xmlns:a="http://schemas.openxmlformats.org/drawingml/2006/main">
                <a:ext uri="{FF2B5EF4-FFF2-40B4-BE49-F238E27FC236}">
                  <a16:creationId xmlns:a16="http://schemas.microsoft.com/office/drawing/2014/main" id="{F8FCC62C-67A1-4200-BD66-77A04F9E38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BFCEF71" w14:textId="2E45F69D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18"/>
          <w:szCs w:val="18"/>
        </w:rPr>
      </w:pPr>
    </w:p>
    <w:p w14:paraId="317ABFB5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18"/>
          <w:szCs w:val="18"/>
        </w:rPr>
      </w:pPr>
    </w:p>
    <w:p w14:paraId="4D194DC2" w14:textId="530C248A" w:rsidR="00817D62" w:rsidRPr="00817D62" w:rsidRDefault="00817D62" w:rsidP="00817D62">
      <w:pPr>
        <w:tabs>
          <w:tab w:val="left" w:pos="964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</w:rPr>
      </w:pPr>
      <w:r w:rsidRPr="00817D62">
        <w:rPr>
          <w:rFonts w:asciiTheme="minorHAnsi" w:eastAsiaTheme="minorHAnsi" w:hAnsiTheme="minorHAnsi"/>
          <w:sz w:val="20"/>
          <w:szCs w:val="20"/>
        </w:rPr>
        <w:t>Grafički prikaz strukture prihoda prema planu za 20</w:t>
      </w:r>
      <w:r w:rsidR="008E57DF">
        <w:rPr>
          <w:rFonts w:asciiTheme="minorHAnsi" w:eastAsiaTheme="minorHAnsi" w:hAnsiTheme="minorHAnsi"/>
          <w:sz w:val="20"/>
          <w:szCs w:val="20"/>
        </w:rPr>
        <w:t>22</w:t>
      </w:r>
      <w:r w:rsidRPr="00817D62">
        <w:rPr>
          <w:rFonts w:asciiTheme="minorHAnsi" w:eastAsiaTheme="minorHAnsi" w:hAnsiTheme="minorHAnsi"/>
          <w:sz w:val="20"/>
          <w:szCs w:val="20"/>
        </w:rPr>
        <w:t>.godinu</w:t>
      </w:r>
    </w:p>
    <w:p w14:paraId="5EC8DE7F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</w:p>
    <w:p w14:paraId="5B0C91DD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0C44C26D" w14:textId="78BEBE36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817D62">
        <w:rPr>
          <w:rFonts w:asciiTheme="minorHAnsi" w:eastAsiaTheme="minorHAnsi" w:hAnsiTheme="minorHAnsi"/>
          <w:sz w:val="24"/>
          <w:szCs w:val="24"/>
        </w:rPr>
        <w:t>Prihod od poreza i prireza na dohodak čini najveći udio u ukupnim prihodima i iznosi 4</w:t>
      </w:r>
      <w:r w:rsidR="00D46EB3">
        <w:rPr>
          <w:rFonts w:asciiTheme="minorHAnsi" w:eastAsiaTheme="minorHAnsi" w:hAnsiTheme="minorHAnsi"/>
          <w:sz w:val="24"/>
          <w:szCs w:val="24"/>
        </w:rPr>
        <w:t>0</w:t>
      </w:r>
      <w:r w:rsidRPr="00817D62">
        <w:rPr>
          <w:rFonts w:asciiTheme="minorHAnsi" w:eastAsiaTheme="minorHAnsi" w:hAnsiTheme="minorHAnsi"/>
          <w:sz w:val="24"/>
          <w:szCs w:val="24"/>
        </w:rPr>
        <w:t>,</w:t>
      </w:r>
      <w:r w:rsidR="00D46EB3">
        <w:rPr>
          <w:rFonts w:asciiTheme="minorHAnsi" w:eastAsiaTheme="minorHAnsi" w:hAnsiTheme="minorHAnsi"/>
          <w:sz w:val="24"/>
          <w:szCs w:val="24"/>
        </w:rPr>
        <w:t>05</w:t>
      </w:r>
      <w:r w:rsidRPr="00817D62">
        <w:rPr>
          <w:rFonts w:asciiTheme="minorHAnsi" w:eastAsiaTheme="minorHAnsi" w:hAnsiTheme="minorHAnsi"/>
          <w:sz w:val="24"/>
          <w:szCs w:val="24"/>
        </w:rPr>
        <w:t xml:space="preserve"> % a prihodi od komunalne naknade i doprinosa čine </w:t>
      </w:r>
      <w:r w:rsidR="00D46EB3">
        <w:rPr>
          <w:rFonts w:asciiTheme="minorHAnsi" w:eastAsiaTheme="minorHAnsi" w:hAnsiTheme="minorHAnsi"/>
          <w:sz w:val="24"/>
          <w:szCs w:val="24"/>
        </w:rPr>
        <w:t>21</w:t>
      </w:r>
      <w:r w:rsidRPr="00817D62">
        <w:rPr>
          <w:rFonts w:asciiTheme="minorHAnsi" w:eastAsiaTheme="minorHAnsi" w:hAnsiTheme="minorHAnsi"/>
          <w:sz w:val="24"/>
          <w:szCs w:val="24"/>
        </w:rPr>
        <w:t>,</w:t>
      </w:r>
      <w:r w:rsidR="00D46EB3">
        <w:rPr>
          <w:rFonts w:asciiTheme="minorHAnsi" w:eastAsiaTheme="minorHAnsi" w:hAnsiTheme="minorHAnsi"/>
          <w:sz w:val="24"/>
          <w:szCs w:val="24"/>
        </w:rPr>
        <w:t>53</w:t>
      </w:r>
      <w:r w:rsidRPr="00817D62">
        <w:rPr>
          <w:rFonts w:asciiTheme="minorHAnsi" w:eastAsiaTheme="minorHAnsi" w:hAnsiTheme="minorHAnsi"/>
          <w:sz w:val="24"/>
          <w:szCs w:val="24"/>
        </w:rPr>
        <w:t xml:space="preserve"> % ukupnih prihoda i primitaka.</w:t>
      </w:r>
    </w:p>
    <w:p w14:paraId="44E37BBB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660E8E3F" w14:textId="543A7C57" w:rsid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4"/>
          <w:szCs w:val="24"/>
        </w:rPr>
      </w:pPr>
      <w:r w:rsidRPr="00817D62">
        <w:rPr>
          <w:rFonts w:asciiTheme="minorHAnsi" w:eastAsiaTheme="minorHAnsi" w:hAnsiTheme="minorHAnsi"/>
          <w:sz w:val="24"/>
          <w:szCs w:val="24"/>
        </w:rPr>
        <w:t>U nastavku je usporedni (201</w:t>
      </w:r>
      <w:r w:rsidR="00D60464">
        <w:rPr>
          <w:rFonts w:asciiTheme="minorHAnsi" w:eastAsiaTheme="minorHAnsi" w:hAnsiTheme="minorHAnsi"/>
          <w:sz w:val="24"/>
          <w:szCs w:val="24"/>
        </w:rPr>
        <w:t>6</w:t>
      </w:r>
      <w:r w:rsidRPr="00817D62">
        <w:rPr>
          <w:rFonts w:asciiTheme="minorHAnsi" w:eastAsiaTheme="minorHAnsi" w:hAnsiTheme="minorHAnsi"/>
          <w:sz w:val="24"/>
          <w:szCs w:val="24"/>
        </w:rPr>
        <w:t>-202</w:t>
      </w:r>
      <w:r w:rsidR="00D46EB3">
        <w:rPr>
          <w:rFonts w:asciiTheme="minorHAnsi" w:eastAsiaTheme="minorHAnsi" w:hAnsiTheme="minorHAnsi"/>
          <w:sz w:val="24"/>
          <w:szCs w:val="24"/>
        </w:rPr>
        <w:t>2</w:t>
      </w:r>
      <w:r w:rsidRPr="00817D62">
        <w:rPr>
          <w:rFonts w:asciiTheme="minorHAnsi" w:eastAsiaTheme="minorHAnsi" w:hAnsiTheme="minorHAnsi"/>
          <w:sz w:val="24"/>
          <w:szCs w:val="24"/>
        </w:rPr>
        <w:t>) prikaz prihoda i primitaka po vrstama:</w:t>
      </w:r>
    </w:p>
    <w:p w14:paraId="62C0F523" w14:textId="1F893042" w:rsidR="00D60464" w:rsidRDefault="00D60464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4"/>
          <w:szCs w:val="24"/>
        </w:rPr>
      </w:pPr>
    </w:p>
    <w:p w14:paraId="6D0D2712" w14:textId="2CA0C83D" w:rsidR="00D60464" w:rsidRDefault="00D60464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4"/>
          <w:szCs w:val="24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704"/>
        <w:gridCol w:w="1985"/>
        <w:gridCol w:w="1032"/>
        <w:gridCol w:w="1032"/>
        <w:gridCol w:w="1032"/>
        <w:gridCol w:w="1032"/>
        <w:gridCol w:w="1032"/>
        <w:gridCol w:w="1032"/>
        <w:gridCol w:w="1032"/>
      </w:tblGrid>
      <w:tr w:rsidR="00D60464" w:rsidRPr="00D60464" w14:paraId="52020D54" w14:textId="77777777" w:rsidTr="00D6046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E3DDE0B" w14:textId="76278359" w:rsidR="00D60464" w:rsidRPr="00D60464" w:rsidRDefault="004B4BE8" w:rsidP="00D60464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Račun</w:t>
            </w:r>
            <w:r w:rsidR="00D60464"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067C2E28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Naziv                                            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6503660F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Ostvarenje 2016.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E6F29C3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Ostvarenje 2017.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9A1EF4A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Ostvarenje 2018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465AE5D" w14:textId="4775872A" w:rsidR="00D60464" w:rsidRPr="00D60464" w:rsidRDefault="00D60464" w:rsidP="00D60464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val="en-US" w:eastAsia="hr-HR"/>
              </w:rPr>
              <w:t>Ostavrenj</w:t>
            </w:r>
            <w:r w:rsidR="00544317">
              <w:rPr>
                <w:rFonts w:cs="Calibri"/>
                <w:b/>
                <w:bCs/>
                <w:color w:val="000000"/>
                <w:sz w:val="16"/>
                <w:szCs w:val="16"/>
                <w:lang w:val="en-US" w:eastAsia="hr-HR"/>
              </w:rPr>
              <w:t>e</w:t>
            </w: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val="en-US" w:eastAsia="hr-HR"/>
              </w:rPr>
              <w:t xml:space="preserve"> 2019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BDF26BC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plan 2020.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ADDEB5D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plan 2021.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6E9B2C5E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plan 2022.</w:t>
            </w:r>
          </w:p>
        </w:tc>
      </w:tr>
      <w:tr w:rsidR="00D60464" w:rsidRPr="00D60464" w14:paraId="6FE7F456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4108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B0DD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Porez i prirez na dohodak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E9C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45.918.825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2274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45.422.279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8798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71.160.865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A8AF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86.804.401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32F1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84.550.000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1A93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90.760.000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6C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80.000.000</w:t>
            </w:r>
          </w:p>
        </w:tc>
      </w:tr>
      <w:tr w:rsidR="00D60464" w:rsidRPr="00D60464" w14:paraId="0DD87359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801A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3ED5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Porezi na imovinu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65F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7.730.166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A6D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9.585.410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9EE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10.500.000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2BF3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10.363.535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000A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9.100.000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55BA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9.100.000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8F1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13.500.000</w:t>
            </w:r>
          </w:p>
        </w:tc>
      </w:tr>
      <w:tr w:rsidR="00D60464" w:rsidRPr="00D60464" w14:paraId="749A8BEE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D8D3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F908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Porezi na robu i usluge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94B3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2.062.750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8D5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1.499.125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154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1.805.000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1F81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1.375.454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570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1.105.000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861A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1.105.000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761F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1.305.000</w:t>
            </w:r>
          </w:p>
        </w:tc>
      </w:tr>
      <w:tr w:rsidR="00D60464" w:rsidRPr="00D60464" w14:paraId="607C5B23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0F4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5E08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Ostali prihodi od poreza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0BB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FE7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0 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E6CD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37B1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466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099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1C6D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10.000</w:t>
            </w:r>
          </w:p>
        </w:tc>
      </w:tr>
      <w:tr w:rsidR="00D60464" w:rsidRPr="00D60464" w14:paraId="78BC8C44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29E1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632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6040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Pomoći od međunar. organizacija te institucija i tijela EU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43F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A7A8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0 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D023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726.044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D58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521.295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D3BE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3.004.000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C8B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2.352.000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B9CB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1.825.000</w:t>
            </w:r>
          </w:p>
        </w:tc>
      </w:tr>
      <w:tr w:rsidR="00D60464" w:rsidRPr="00D60464" w14:paraId="08C8E6D3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FFB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08CA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Potpore iz proracuna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0A3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1.894.919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E23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1.061.098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D968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4.742.150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2F91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4.115.970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9DC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5.060.000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957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6.060.000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C1BB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21.690.000</w:t>
            </w:r>
          </w:p>
        </w:tc>
      </w:tr>
      <w:tr w:rsidR="00D60464" w:rsidRPr="00D60464" w14:paraId="00CE0B41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CF7F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005E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Ostale potpore unutar opce drzave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100E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3.239.393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D73C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4.465.196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CCB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4.004.500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AA54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2.871.236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192E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4.380.000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CA3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6.913.000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4A0F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6.500.000</w:t>
            </w:r>
          </w:p>
        </w:tc>
      </w:tr>
      <w:tr w:rsidR="00D60464" w:rsidRPr="00D60464" w14:paraId="61639187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730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0EFC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Pomoći izravnanja za decentralizirane funkcije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B748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27EA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FEEB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5F14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56B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1.750.000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52CB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1.750.000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04F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D60464" w:rsidRPr="00D60464" w14:paraId="5DD23B0D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CB2C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3CBE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Pomoci proracunskim korisnicima iz proracuna koji im nije nadlezan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EBC3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461.132,00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6E28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476.540,00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D7F6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507.000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D3A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491.640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AA7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389.140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9568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604.500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B27C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514.300</w:t>
            </w:r>
          </w:p>
        </w:tc>
      </w:tr>
      <w:tr w:rsidR="00D60464" w:rsidRPr="00D60464" w14:paraId="48895038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533D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2C1F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Pomoći temeljem prijenosa EU sr.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5663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E57C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582550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B7DE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5.324.259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6FC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1.586.972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0A1D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3.167.200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F3EC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9.055.602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621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6.852.500</w:t>
            </w:r>
          </w:p>
        </w:tc>
      </w:tr>
      <w:tr w:rsidR="00D60464" w:rsidRPr="00D60464" w14:paraId="761C67DA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46FD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639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F2A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Prijenosi</w:t>
            </w:r>
            <w:proofErr w:type="spellEnd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između</w:t>
            </w:r>
            <w:proofErr w:type="spellEnd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proračunskih</w:t>
            </w:r>
            <w:proofErr w:type="spellEnd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korisnika</w:t>
            </w:r>
            <w:proofErr w:type="spellEnd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istog</w:t>
            </w:r>
            <w:proofErr w:type="spellEnd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proračuna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ED4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670E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48A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570.000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C37F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552.900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CC2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FF6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3F2C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D60464" w:rsidRPr="00D60464" w14:paraId="4A038DCF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137A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FDC5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4F3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96.326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23AF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95.625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D29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128.000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6816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11.289.613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D22E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25C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31.000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E88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211.100</w:t>
            </w:r>
          </w:p>
        </w:tc>
      </w:tr>
      <w:tr w:rsidR="00D60464" w:rsidRPr="00D60464" w14:paraId="5ED4011A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2754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6EEB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306B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6.190.456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6D3D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5.206.568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7416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7.753.000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28F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5.258.041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5AD4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5.112.904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301D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6.290.800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8BC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6.700.000</w:t>
            </w:r>
          </w:p>
        </w:tc>
      </w:tr>
      <w:tr w:rsidR="00D60464" w:rsidRPr="00D60464" w14:paraId="00164EC2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3B6C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487F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Administr. (upravne) pristojbe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F4B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1.091.355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323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1.159.856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7B38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1.800.000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C3E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1.296.915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1D0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900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1.450.000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F5CB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1.950.000</w:t>
            </w:r>
          </w:p>
        </w:tc>
      </w:tr>
      <w:tr w:rsidR="00D60464" w:rsidRPr="00D60464" w14:paraId="58907049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0C11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CCBB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006B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6.450.516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E496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6.550.646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0E8E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8.366.962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430A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5.991.725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AE6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7.315.100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674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16.783.800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DBF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10.681.400</w:t>
            </w:r>
          </w:p>
        </w:tc>
      </w:tr>
      <w:tr w:rsidR="00D60464" w:rsidRPr="00D60464" w14:paraId="68F90ECD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822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DFA5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Komunalni doprinosi i naknade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8FBD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47.210.183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147C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32.168.424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B62F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36.810.000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FA7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35.472.788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CB4A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34.510.000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DB08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38.010.000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9334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43.010.000</w:t>
            </w:r>
          </w:p>
        </w:tc>
      </w:tr>
      <w:tr w:rsidR="00D60464" w:rsidRPr="00D60464" w14:paraId="461A045C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B14E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C737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Prihodi koje proracuni i pror.korisnici ostvare obavljanjem poslova na trzistu (vlastiti prihodi)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669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1.168.187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9D7E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1.173.262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DC4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1.346.100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E3EB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1.072.253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6A8A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1.067.100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0481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1.144.750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9091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1.300.600</w:t>
            </w:r>
          </w:p>
        </w:tc>
      </w:tr>
      <w:tr w:rsidR="00D60464" w:rsidRPr="00D60464" w14:paraId="7D56CB9D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16A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380C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Donacije od pravnih i fizickih osoba izvan opce drzave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F88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2.167.500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4606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55.844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5A61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77.890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FB0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3.163.539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1EF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EBA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94.000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3E6D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1.450.000</w:t>
            </w:r>
          </w:p>
        </w:tc>
      </w:tr>
      <w:tr w:rsidR="00D60464" w:rsidRPr="00D60464" w14:paraId="4A1175A6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3528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0164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Kazne i upravne pristojbe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4C9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54.768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3E73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143.330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B193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220.000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082D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258.208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93E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320.000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814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320.000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2B8D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428.000</w:t>
            </w:r>
          </w:p>
        </w:tc>
      </w:tr>
      <w:tr w:rsidR="00D60464" w:rsidRPr="00D60464" w14:paraId="16C58630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36B6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A9CC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F47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338.765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4EA6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479.825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12D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260.000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A874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9.500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6F24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7B7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5CD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</w:tr>
      <w:tr w:rsidR="00D60464" w:rsidRPr="00D60464" w14:paraId="47F0E7C5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B05C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711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99DB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materijalne imovine - prirodnih bogatstava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37A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46.927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09DB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59.445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05C1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2.100.000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85DF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335.360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7DCD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E761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6023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</w:tr>
      <w:tr w:rsidR="00D60464" w:rsidRPr="00D60464" w14:paraId="42467036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4E3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E2DB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grad.objekata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D908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102.582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C9EB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142.324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173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200.000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459D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116.291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3BD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F8CA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28D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</w:tr>
      <w:tr w:rsidR="00D60464" w:rsidRPr="00D60464" w14:paraId="7268159F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92C6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722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7087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Prihodi</w:t>
            </w:r>
            <w:proofErr w:type="spellEnd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 xml:space="preserve"> od </w:t>
            </w:r>
            <w:proofErr w:type="spellStart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prodaje</w:t>
            </w:r>
            <w:proofErr w:type="spellEnd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građevinskih</w:t>
            </w:r>
            <w:proofErr w:type="spellEnd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objekata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A02B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632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106.168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4DE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20A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BE6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2214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16A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D60464" w:rsidRPr="00D60464" w14:paraId="3EB0D2C4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6DA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723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4627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prijevoznih sr.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1464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3271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0B7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BC28" w14:textId="3538EC38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27</w:t>
            </w:r>
            <w:r w:rsidR="00895176">
              <w:rPr>
                <w:rFonts w:cs="Calibri"/>
                <w:color w:val="000000"/>
                <w:sz w:val="16"/>
                <w:szCs w:val="16"/>
                <w:lang w:eastAsia="hr-HR"/>
              </w:rPr>
              <w:t>.</w:t>
            </w: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865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21E6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4674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9811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60464" w:rsidRPr="00D60464" w14:paraId="58827746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7628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844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A4EA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Primljeni zajmovi od kreditnih i ostalih financijskih institucija izvan javnog sektora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6A5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7FF1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0437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6648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A9C2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16.000.000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238A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6.600.000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111E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color w:val="000000"/>
                <w:sz w:val="16"/>
                <w:szCs w:val="16"/>
                <w:lang w:eastAsia="hr-HR"/>
              </w:rPr>
              <w:t>1.518.750</w:t>
            </w:r>
          </w:p>
        </w:tc>
      </w:tr>
      <w:tr w:rsidR="00D60464" w:rsidRPr="00D60464" w14:paraId="04A631EB" w14:textId="77777777" w:rsidTr="00D6046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2026AE4B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6F94260" w14:textId="77777777" w:rsidR="00D60464" w:rsidRPr="00D60464" w:rsidRDefault="00D60464" w:rsidP="00D60464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SVEUKUPNO PRIHODI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2374092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126.224.749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35902AC9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110.433.514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6C62008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val="en-US" w:eastAsia="hr-HR"/>
              </w:rPr>
              <w:t>158.411.770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29C7C9E5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172.975.501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0991AC0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180.945.844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3CA4194F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199.734.452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E6BB25A" w14:textId="77777777" w:rsidR="00D60464" w:rsidRPr="00D60464" w:rsidRDefault="00D60464" w:rsidP="00D60464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0464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199.746.650</w:t>
            </w:r>
          </w:p>
        </w:tc>
      </w:tr>
    </w:tbl>
    <w:p w14:paraId="2F2E98D0" w14:textId="22F67933" w:rsidR="00D60464" w:rsidRDefault="00D60464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4"/>
          <w:szCs w:val="24"/>
        </w:rPr>
      </w:pPr>
    </w:p>
    <w:p w14:paraId="64945A57" w14:textId="526A798E" w:rsidR="00B63D26" w:rsidRDefault="00B63D26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 wp14:anchorId="59C61BF8" wp14:editId="51024FFF">
            <wp:extent cx="5876925" cy="7429500"/>
            <wp:effectExtent l="19050" t="19050" r="9525" b="19050"/>
            <wp:docPr id="8" name="Grafikon 8">
              <a:extLst xmlns:a="http://schemas.openxmlformats.org/drawingml/2006/main">
                <a:ext uri="{FF2B5EF4-FFF2-40B4-BE49-F238E27FC236}">
                  <a16:creationId xmlns:a16="http://schemas.microsoft.com/office/drawing/2014/main" id="{F966B327-3978-404F-960F-68DC49EF69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0D36032" w14:textId="77777777" w:rsidR="00B63D26" w:rsidRPr="00817D62" w:rsidRDefault="00B63D26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4"/>
          <w:szCs w:val="24"/>
        </w:rPr>
      </w:pPr>
    </w:p>
    <w:p w14:paraId="1A39B14A" w14:textId="79045451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4"/>
          <w:szCs w:val="24"/>
        </w:rPr>
      </w:pPr>
    </w:p>
    <w:p w14:paraId="32532991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</w:rPr>
      </w:pPr>
    </w:p>
    <w:p w14:paraId="3B6E76AB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817D62">
        <w:rPr>
          <w:rFonts w:asciiTheme="minorHAnsi" w:eastAsiaTheme="minorHAnsi" w:hAnsiTheme="minorHAnsi"/>
          <w:sz w:val="20"/>
          <w:szCs w:val="20"/>
        </w:rPr>
        <w:t>Grafički prikaz usporedbe prihoda i primitaka</w:t>
      </w:r>
    </w:p>
    <w:p w14:paraId="17CB538B" w14:textId="77777777" w:rsidR="00817D62" w:rsidRPr="00775DEF" w:rsidRDefault="00817D62" w:rsidP="00071598">
      <w:pPr>
        <w:suppressAutoHyphens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E50B1AB" w14:textId="77777777" w:rsidR="000B4D1D" w:rsidRDefault="000B4D1D" w:rsidP="00CF17D5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28BCD37A" w14:textId="77777777" w:rsidR="00732FA9" w:rsidRPr="005563FB" w:rsidRDefault="00817D62" w:rsidP="0069710B">
      <w:pPr>
        <w:pStyle w:val="Naslov3"/>
        <w:numPr>
          <w:ilvl w:val="2"/>
          <w:numId w:val="4"/>
        </w:numPr>
        <w:ind w:hanging="11"/>
      </w:pPr>
      <w:bookmarkStart w:id="9" w:name="_Toc88555239"/>
      <w:r w:rsidRPr="005563FB">
        <w:t>PRIHODI I PRIMICI PO IZVORIMA</w:t>
      </w:r>
      <w:bookmarkEnd w:id="9"/>
    </w:p>
    <w:p w14:paraId="606F3581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Izvore financiranja čine skupine prihoda i primitaka iz kojih se podmiruju rashodi i izdaci određene vrste i utvrđene namjene. Klasifikacija izvora financiranja osigurava praćenje korištenja sredstava proračuna dobivenih temeljem naplate različitih vrsta prihoda. </w:t>
      </w:r>
      <w:bookmarkStart w:id="10" w:name="_Hlk531680527"/>
      <w:r w:rsidRPr="00817D62">
        <w:rPr>
          <w:rFonts w:asciiTheme="minorHAnsi" w:eastAsiaTheme="minorHAnsi" w:hAnsiTheme="minorHAnsi"/>
          <w:color w:val="000000"/>
          <w:sz w:val="24"/>
          <w:szCs w:val="24"/>
        </w:rPr>
        <w:t xml:space="preserve">Za svaki od prihoda određeno je uz koji se izvor financiranja veže, a rashodi se izvršavaju s obzirom na plan i ostvarenje prihoda prema izvorima. </w:t>
      </w:r>
    </w:p>
    <w:p w14:paraId="25647433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</w:p>
    <w:p w14:paraId="19CA964E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817D62">
        <w:rPr>
          <w:rFonts w:asciiTheme="minorHAnsi" w:eastAsiaTheme="minorHAnsi" w:hAnsiTheme="minorHAnsi"/>
          <w:color w:val="000000"/>
          <w:sz w:val="24"/>
          <w:szCs w:val="24"/>
        </w:rPr>
        <w:t>Opći prihodi i primici se planiraju u iznosu od 106,197 mil.kn, odnosno 53,17 % ukupnih prihoda i primitaka, zatim slijede prihodi od kom.naknade 28 mil.kn sa udjelom od 14,02 % te ostali prihodi za posebne namjene  sa udjelom od 8,72 %.</w:t>
      </w:r>
    </w:p>
    <w:p w14:paraId="0BF4F6A5" w14:textId="77777777" w:rsidR="00817D62" w:rsidRP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</w:p>
    <w:bookmarkEnd w:id="10"/>
    <w:p w14:paraId="4FA6D648" w14:textId="7AA4EAB4" w:rsidR="00817D62" w:rsidRDefault="00817D62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bCs/>
          <w:sz w:val="24"/>
          <w:szCs w:val="24"/>
        </w:rPr>
      </w:pPr>
      <w:r w:rsidRPr="00817D62">
        <w:rPr>
          <w:rFonts w:asciiTheme="minorHAnsi" w:eastAsiaTheme="minorHAnsi" w:hAnsiTheme="minorHAnsi"/>
          <w:bCs/>
          <w:sz w:val="24"/>
          <w:szCs w:val="24"/>
        </w:rPr>
        <w:t>U nastavku su prikazane skupine prihoda i primitaka po izvorima financiranja:</w:t>
      </w:r>
    </w:p>
    <w:p w14:paraId="23CD0749" w14:textId="1CCC2F18" w:rsidR="008F769F" w:rsidRDefault="008F769F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bCs/>
          <w:sz w:val="24"/>
          <w:szCs w:val="24"/>
        </w:rPr>
      </w:pPr>
    </w:p>
    <w:tbl>
      <w:tblPr>
        <w:tblW w:w="9529" w:type="dxa"/>
        <w:tblLook w:val="04A0" w:firstRow="1" w:lastRow="0" w:firstColumn="1" w:lastColumn="0" w:noHBand="0" w:noVBand="1"/>
      </w:tblPr>
      <w:tblGrid>
        <w:gridCol w:w="703"/>
        <w:gridCol w:w="4254"/>
        <w:gridCol w:w="1032"/>
        <w:gridCol w:w="952"/>
        <w:gridCol w:w="1032"/>
        <w:gridCol w:w="776"/>
        <w:gridCol w:w="780"/>
      </w:tblGrid>
      <w:tr w:rsidR="008F769F" w:rsidRPr="008F769F" w14:paraId="56431134" w14:textId="77777777" w:rsidTr="001E74FD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459DCF" w14:textId="0764E929" w:rsidR="008F769F" w:rsidRPr="008F769F" w:rsidRDefault="004B4BE8" w:rsidP="008F769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hr-HR"/>
              </w:rPr>
              <w:t>Račun</w:t>
            </w:r>
            <w:r w:rsidR="008F769F" w:rsidRPr="008F769F">
              <w:rPr>
                <w:rFonts w:cs="Calibri"/>
                <w:b/>
                <w:bCs/>
                <w:sz w:val="16"/>
                <w:szCs w:val="16"/>
                <w:lang w:eastAsia="hr-HR"/>
              </w:rPr>
              <w:t>/ izvor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C3CCFE" w14:textId="77777777" w:rsidR="008F769F" w:rsidRPr="008F769F" w:rsidRDefault="008F769F" w:rsidP="008F769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b/>
                <w:bCs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9BE7FE" w14:textId="77777777" w:rsidR="008F769F" w:rsidRPr="008F769F" w:rsidRDefault="008F769F" w:rsidP="008F769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b/>
                <w:bCs/>
                <w:sz w:val="16"/>
                <w:szCs w:val="16"/>
                <w:lang w:eastAsia="hr-HR"/>
              </w:rPr>
              <w:t>Plan 2021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1FDA92" w14:textId="77777777" w:rsidR="008F769F" w:rsidRPr="008F769F" w:rsidRDefault="008F769F" w:rsidP="008F769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b/>
                <w:bCs/>
                <w:sz w:val="16"/>
                <w:szCs w:val="16"/>
                <w:lang w:eastAsia="hr-HR"/>
              </w:rPr>
              <w:t>Razlika 2022-2021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1105C2" w14:textId="77777777" w:rsidR="008F769F" w:rsidRPr="008F769F" w:rsidRDefault="008F769F" w:rsidP="008F769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b/>
                <w:bCs/>
                <w:sz w:val="16"/>
                <w:szCs w:val="16"/>
                <w:lang w:eastAsia="hr-HR"/>
              </w:rPr>
              <w:t>Plan 2022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169A8D" w14:textId="77777777" w:rsidR="008F769F" w:rsidRPr="008F769F" w:rsidRDefault="008F769F" w:rsidP="008F769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33DA1A" w14:textId="77777777" w:rsidR="008F769F" w:rsidRPr="008F769F" w:rsidRDefault="008F769F" w:rsidP="008F769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b/>
                <w:bCs/>
                <w:sz w:val="16"/>
                <w:szCs w:val="16"/>
                <w:lang w:eastAsia="hr-HR"/>
              </w:rPr>
              <w:t>Udjel 2022.</w:t>
            </w:r>
          </w:p>
        </w:tc>
      </w:tr>
      <w:tr w:rsidR="008F769F" w:rsidRPr="008F769F" w14:paraId="3F64E55F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5F7D82C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11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2CF97B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6BDA4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114.279.000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A25DC4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3.425.100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BF3FEF8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117.704.100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8956F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103,00%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DA511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58,93%</w:t>
            </w:r>
          </w:p>
        </w:tc>
      </w:tr>
      <w:tr w:rsidR="008F769F" w:rsidRPr="008F769F" w14:paraId="07CAC669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5271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863B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3C5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90.725.000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4E5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4.090.000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47C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94.815.000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C97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104,51%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36E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47,47%</w:t>
            </w:r>
          </w:p>
        </w:tc>
      </w:tr>
      <w:tr w:rsidR="008F769F" w:rsidRPr="008F769F" w14:paraId="75468787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6E1C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D1FC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71A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21.200.000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345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CBA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21.200.000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E49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7EC2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10,61%</w:t>
            </w:r>
          </w:p>
        </w:tc>
      </w:tr>
      <w:tr w:rsidR="008F769F" w:rsidRPr="008F769F" w14:paraId="48B7AF12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48F2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2BFA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B46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101.000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8406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100.100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9A9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201.100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815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199,11%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685E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0,10%</w:t>
            </w:r>
          </w:p>
        </w:tc>
      </w:tr>
      <w:tr w:rsidR="008F769F" w:rsidRPr="008F769F" w14:paraId="73992098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25F9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9289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administrativnih pristojbi i po posebnim propisima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336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1.081.000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3257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-121.000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FC5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960.000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3D93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88,81%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F650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0,48%</w:t>
            </w:r>
          </w:p>
        </w:tc>
      </w:tr>
      <w:tr w:rsidR="008F769F" w:rsidRPr="008F769F" w14:paraId="01561D63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56A3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88F3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Kazne, upravne pristojbe i ostali prihodi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B50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420.000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DD5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CF28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528.000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241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125,71%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A28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0,26%</w:t>
            </w:r>
          </w:p>
        </w:tc>
      </w:tr>
      <w:tr w:rsidR="008F769F" w:rsidRPr="008F769F" w14:paraId="3857DA84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0F5E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7007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8A8B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D3B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9F18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3B7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9668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F769F" w:rsidRPr="008F769F" w14:paraId="269376FA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66BF6A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112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CA0799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Opći prihodi i primici-decentralizirane funkcije JVP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692340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750.000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E1BF6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C79100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B6A0563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5D7D0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F769F" w:rsidRPr="008F769F" w14:paraId="591BB38E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1616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057D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486E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750.000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816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ECF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86B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A214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F769F" w:rsidRPr="008F769F" w14:paraId="006A21CE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6C423B5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21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9A976A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EAFB458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2.147.800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A6711B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-1.513.500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4DEA2D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634.300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1DCA97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29,53%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F1E1A3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0,32%</w:t>
            </w:r>
          </w:p>
        </w:tc>
      </w:tr>
      <w:tr w:rsidR="008F769F" w:rsidRPr="008F769F" w14:paraId="00D0C283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8B6B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4876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ABD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397.800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62CD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236.500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35AD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634.300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1A92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159,45%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1C06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0,32%</w:t>
            </w:r>
          </w:p>
        </w:tc>
      </w:tr>
      <w:tr w:rsidR="008F769F" w:rsidRPr="008F769F" w14:paraId="5BAE6604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C2D522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211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776660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Pomoći drž. proračuna-izravnanja za decentralizirane funkcije JVP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39F3AD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1.750.000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A0BB9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-1.750.000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748A0B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4B3E43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A074D2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F769F" w:rsidRPr="008F769F" w14:paraId="64E2E8A5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9D77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BB4B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F6A7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1.750.000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264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-1.750.000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5CA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0043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D2A6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F769F" w:rsidRPr="008F769F" w14:paraId="7BCBADB3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03E093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22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FCB510D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F13E0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875.000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2E6933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-505.000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AAE060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370.000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6EA794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42,29%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01FB767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0,19%</w:t>
            </w:r>
          </w:p>
        </w:tc>
      </w:tr>
      <w:tr w:rsidR="008F769F" w:rsidRPr="008F769F" w14:paraId="48E1C125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B093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DDAF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33B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875.000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4668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-505.000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C38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370.000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9B7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42,29%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FFC4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0,19%</w:t>
            </w:r>
          </w:p>
        </w:tc>
      </w:tr>
      <w:tr w:rsidR="008F769F" w:rsidRPr="008F769F" w14:paraId="004C2DED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BB7219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23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14F1C4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državnog proračuna temeljem prijenosa EU sredstava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78BA70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10.278.102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3935B3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-3.425.602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1EEBC8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6.852.500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47FDD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66,67%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E31FEB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3,43%</w:t>
            </w:r>
          </w:p>
        </w:tc>
      </w:tr>
      <w:tr w:rsidR="008F769F" w:rsidRPr="008F769F" w14:paraId="14CBB3D5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8F61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2B25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076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10.278.102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406B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-3.425.602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0F0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6.852.500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73CE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66,67%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6288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3,43%</w:t>
            </w:r>
          </w:p>
        </w:tc>
      </w:tr>
      <w:tr w:rsidR="008F769F" w:rsidRPr="008F769F" w14:paraId="5383FF6A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5BE9D3C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24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CA3031A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Pomoći od izvanproračunskih korisnika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4BAE36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6.973.200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B2898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-473.200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541422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95266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93,21%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EE42C2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3,25%</w:t>
            </w:r>
          </w:p>
        </w:tc>
      </w:tr>
      <w:tr w:rsidR="008F769F" w:rsidRPr="008F769F" w14:paraId="78DD2A16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77C7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C0D9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F71B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6.973.200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C272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-473.200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4EB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221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93,21%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C09D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3,25%</w:t>
            </w:r>
          </w:p>
        </w:tc>
      </w:tr>
      <w:tr w:rsidR="008F769F" w:rsidRPr="008F769F" w14:paraId="4A22AE87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A4934A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27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FB35D1D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Pomoći od međunarodnih organizacija temeljem prijenosa EU sredstava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081C90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3.593.000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3CCA4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-1.768.000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2808E3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1.825.000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E9CE3E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50,79%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9A224D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0,91%</w:t>
            </w:r>
          </w:p>
        </w:tc>
      </w:tr>
      <w:tr w:rsidR="008F769F" w:rsidRPr="008F769F" w14:paraId="12E73FBA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09E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C37D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874B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3.593.000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563B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-1.768.000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1DBB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1.825.000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51FE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50,79%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6CE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0,91%</w:t>
            </w:r>
          </w:p>
        </w:tc>
      </w:tr>
      <w:tr w:rsidR="008F769F" w:rsidRPr="008F769F" w14:paraId="062BFCB4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C8479A4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31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3B75D4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23F30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5.135.743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2FF39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474.857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9FE436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5.610.600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02999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109,25%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CC56D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2,81%</w:t>
            </w:r>
          </w:p>
        </w:tc>
      </w:tr>
      <w:tr w:rsidR="008F769F" w:rsidRPr="008F769F" w14:paraId="1155F23C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3844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6F5B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CA0D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3.810.000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4650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52FD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4.310.000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8B48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113,12%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F4B2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2,16%</w:t>
            </w:r>
          </w:p>
        </w:tc>
      </w:tr>
      <w:tr w:rsidR="008F769F" w:rsidRPr="008F769F" w14:paraId="3A587835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B529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AA6B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95C4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1.325.643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358E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-25.043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48A6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1.300.600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F942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98,11%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3F4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0,65%</w:t>
            </w:r>
          </w:p>
        </w:tc>
      </w:tr>
      <w:tr w:rsidR="008F769F" w:rsidRPr="008F769F" w14:paraId="4122461C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49B1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ED3C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D9D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9633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1517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0937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788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F769F" w:rsidRPr="008F769F" w14:paraId="64C0DF1E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E8834D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41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0206BA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Komunalna naknada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C8DAA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31.000.000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79CECE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0FF71E8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32.000.000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C1862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103,23%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54575B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16,02%</w:t>
            </w:r>
          </w:p>
        </w:tc>
      </w:tr>
      <w:tr w:rsidR="008F769F" w:rsidRPr="008F769F" w14:paraId="1CD2DEEB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6E3E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3363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administrativnih pristojbi i po posebnim propisima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4844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31.000.000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1060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0B24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32.000.000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3CDE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103,23%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F3DB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16,02%</w:t>
            </w:r>
          </w:p>
        </w:tc>
      </w:tr>
      <w:tr w:rsidR="008F769F" w:rsidRPr="008F769F" w14:paraId="6FA43356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BEA659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42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00A164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Komunalni doprinos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3C32D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9.900.000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C788208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62151D6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11.000.000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4D4BE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111,11%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B6653A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5,51%</w:t>
            </w:r>
          </w:p>
        </w:tc>
      </w:tr>
      <w:tr w:rsidR="008F769F" w:rsidRPr="008F769F" w14:paraId="0F655D46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6C3F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660F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administrativnih pristojbi i po posebnim propisima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17A0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9.900.000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4E96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94E7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11.000.000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358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111,11%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BDE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5,51%</w:t>
            </w:r>
          </w:p>
        </w:tc>
      </w:tr>
      <w:tr w:rsidR="008F769F" w:rsidRPr="008F769F" w14:paraId="63FEDBC8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B7F5B6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43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25A1232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78E227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14.809.465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88D1C6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-2.978.065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E49070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11.831.400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860E1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79,89%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D7C720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5,92%</w:t>
            </w:r>
          </w:p>
        </w:tc>
      </w:tr>
      <w:tr w:rsidR="008F769F" w:rsidRPr="008F769F" w14:paraId="2A7BA711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7A99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0B7B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6DF6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890.800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4F02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-90.800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D4F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093D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89,81%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316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0,40%</w:t>
            </w:r>
          </w:p>
        </w:tc>
      </w:tr>
      <w:tr w:rsidR="008F769F" w:rsidRPr="008F769F" w14:paraId="5C96A828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F391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EAF2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administrativnih pristojbi i po posebnim propisima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4DFB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13.918.665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90FD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-2.887.265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2F07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11.031.400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CF5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79,26%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5ED4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5,52%</w:t>
            </w:r>
          </w:p>
        </w:tc>
      </w:tr>
      <w:tr w:rsidR="008F769F" w:rsidRPr="008F769F" w14:paraId="05378DCC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BDE8C4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44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975FB4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Spomenička renta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3F2E3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DCEC2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5D0593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FABD2C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C26207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8F769F" w:rsidRPr="008F769F" w14:paraId="134BDFDF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8A20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BE40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61D0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23C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8FF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8D77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DCAE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8F769F" w:rsidRPr="008F769F" w14:paraId="416BED34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D82DA0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45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5B3521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Naknade za koncesije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612234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0E14BE4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293A86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B71893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36767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0,75%</w:t>
            </w:r>
          </w:p>
        </w:tc>
      </w:tr>
      <w:tr w:rsidR="008F769F" w:rsidRPr="008F769F" w14:paraId="248B5B70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B749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4BBA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011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16D0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17A2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752B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F23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0,75%</w:t>
            </w:r>
          </w:p>
        </w:tc>
      </w:tr>
      <w:tr w:rsidR="008F769F" w:rsidRPr="008F769F" w14:paraId="1D2C8902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3F8C4B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46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F5D0FE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Vodni doprinos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5F7F8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AB72E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639EC6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CED4D7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9C81DD0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0,30%</w:t>
            </w:r>
          </w:p>
        </w:tc>
      </w:tr>
      <w:tr w:rsidR="008F769F" w:rsidRPr="008F769F" w14:paraId="0331E9F7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E067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9E9E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administrativnih pristojbi i po posebnim propisima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ED02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6F3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9D2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750E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6C4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0,30%</w:t>
            </w:r>
          </w:p>
        </w:tc>
      </w:tr>
      <w:tr w:rsidR="008F769F" w:rsidRPr="008F769F" w14:paraId="62F025C5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E95A1D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51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32C98C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A6AC8D7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1.686.000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A7B6C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-236.000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1C900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1.450.000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0CDD67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86,00%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3A9C4D0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0,73%</w:t>
            </w:r>
          </w:p>
        </w:tc>
      </w:tr>
      <w:tr w:rsidR="008F769F" w:rsidRPr="008F769F" w14:paraId="564C771D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D7F9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4A64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BD7D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1.686.000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321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-236.000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43D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1.450.000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AAD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86,00%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B213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0,73%</w:t>
            </w:r>
          </w:p>
        </w:tc>
      </w:tr>
      <w:tr w:rsidR="008F769F" w:rsidRPr="008F769F" w14:paraId="29134CE7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82893F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61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D81D71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i zamjene nefinancijske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EE2C92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1.200.000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30E9E8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8A3AE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019C2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16,67%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2D0A33D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0,10%</w:t>
            </w:r>
          </w:p>
        </w:tc>
      </w:tr>
      <w:tr w:rsidR="008F769F" w:rsidRPr="008F769F" w14:paraId="47321356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096A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1CFF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neproizvedene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3548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F268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-900.000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654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6643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D4A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8F769F" w:rsidRPr="008F769F" w14:paraId="7AAD8A10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B011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769C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10D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F87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51E1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197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50,00%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4E16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8F769F" w:rsidRPr="008F769F" w14:paraId="712B9AF3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96938D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62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A77F49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naknada s naslova osiguranja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CADF20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490.000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DE8CA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-440.000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C73EE2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C437D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10,20%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A042B2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0,03%</w:t>
            </w:r>
          </w:p>
        </w:tc>
      </w:tr>
      <w:tr w:rsidR="008F769F" w:rsidRPr="008F769F" w14:paraId="30016992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58E2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B2A3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administrativnih pristojbi i po posebnim propisima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FD92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490.000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822A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-440.000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3A9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32B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10,20%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4A1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0,03%</w:t>
            </w:r>
          </w:p>
        </w:tc>
      </w:tr>
      <w:tr w:rsidR="008F769F" w:rsidRPr="008F769F" w14:paraId="60289EF8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13BC581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Izvor: 71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14B9EF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Namjenski primici od financijske imovine i zaduživanja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2DD806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C51B9E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1.518.750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C17A80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1.518.750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985754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F25EB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0,76%</w:t>
            </w:r>
          </w:p>
        </w:tc>
      </w:tr>
      <w:tr w:rsidR="008F769F" w:rsidRPr="008F769F" w14:paraId="6EACE353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800A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C158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3246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7115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1.518.750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21A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1.518.750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A4AC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FE27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color w:val="000000"/>
                <w:sz w:val="16"/>
                <w:szCs w:val="16"/>
                <w:lang w:eastAsia="hr-HR"/>
              </w:rPr>
              <w:t>0,76%</w:t>
            </w:r>
          </w:p>
        </w:tc>
      </w:tr>
      <w:tr w:rsidR="008F769F" w:rsidRPr="008F769F" w14:paraId="5974DA96" w14:textId="77777777" w:rsidTr="001E74FD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99DA17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5096C6" w14:textId="77777777" w:rsidR="008F769F" w:rsidRPr="008F769F" w:rsidRDefault="008F769F" w:rsidP="008F769F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b/>
                <w:bCs/>
                <w:sz w:val="16"/>
                <w:szCs w:val="16"/>
                <w:lang w:eastAsia="hr-HR"/>
              </w:rPr>
              <w:t>SUMA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B4EB7F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b/>
                <w:bCs/>
                <w:sz w:val="16"/>
                <w:szCs w:val="16"/>
                <w:lang w:eastAsia="hr-HR"/>
              </w:rPr>
              <w:t>204.567.310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BB1823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b/>
                <w:bCs/>
                <w:sz w:val="16"/>
                <w:szCs w:val="16"/>
                <w:lang w:eastAsia="hr-HR"/>
              </w:rPr>
              <w:t>-4.820.660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99EEF9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b/>
                <w:bCs/>
                <w:sz w:val="16"/>
                <w:szCs w:val="16"/>
                <w:lang w:eastAsia="hr-HR"/>
              </w:rPr>
              <w:t>199.746.650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71B4D3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b/>
                <w:bCs/>
                <w:sz w:val="16"/>
                <w:szCs w:val="16"/>
                <w:lang w:eastAsia="hr-HR"/>
              </w:rPr>
              <w:t>97,64%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32F1D8" w14:textId="77777777" w:rsidR="008F769F" w:rsidRPr="008F769F" w:rsidRDefault="008F769F" w:rsidP="008F769F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F769F">
              <w:rPr>
                <w:rFonts w:cs="Calibri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</w:tbl>
    <w:p w14:paraId="60376B8E" w14:textId="77777777" w:rsidR="008F769F" w:rsidRPr="008F769F" w:rsidRDefault="008F769F" w:rsidP="00817D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bCs/>
          <w:sz w:val="16"/>
          <w:szCs w:val="16"/>
        </w:rPr>
      </w:pPr>
    </w:p>
    <w:p w14:paraId="5315B61D" w14:textId="77777777" w:rsidR="005563FB" w:rsidRPr="00A364E6" w:rsidRDefault="005563FB" w:rsidP="0069710B">
      <w:pPr>
        <w:pStyle w:val="Naslov2"/>
        <w:numPr>
          <w:ilvl w:val="1"/>
          <w:numId w:val="4"/>
        </w:numPr>
        <w:rPr>
          <w:sz w:val="26"/>
          <w:szCs w:val="26"/>
        </w:rPr>
      </w:pPr>
      <w:bookmarkStart w:id="11" w:name="_Toc88555240"/>
      <w:r w:rsidRPr="00A364E6">
        <w:rPr>
          <w:sz w:val="26"/>
          <w:szCs w:val="26"/>
        </w:rPr>
        <w:t>RASHODI I IZDACI</w:t>
      </w:r>
      <w:bookmarkEnd w:id="11"/>
    </w:p>
    <w:p w14:paraId="02F85D0B" w14:textId="77777777" w:rsidR="005563FB" w:rsidRPr="001E74FD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bCs/>
          <w:sz w:val="16"/>
          <w:szCs w:val="16"/>
        </w:rPr>
      </w:pPr>
    </w:p>
    <w:p w14:paraId="0D160EB2" w14:textId="32980112" w:rsid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bCs/>
          <w:sz w:val="24"/>
          <w:szCs w:val="24"/>
        </w:rPr>
      </w:pPr>
      <w:r w:rsidRPr="005563FB">
        <w:rPr>
          <w:rFonts w:asciiTheme="minorHAnsi" w:eastAsiaTheme="minorHAnsi" w:hAnsiTheme="minorHAnsi"/>
          <w:bCs/>
          <w:sz w:val="24"/>
          <w:szCs w:val="24"/>
        </w:rPr>
        <w:t>Plan rashoda sa udjelom u ukupnim rashodima i izdacima za 202</w:t>
      </w:r>
      <w:r w:rsidR="002128FA">
        <w:rPr>
          <w:rFonts w:asciiTheme="minorHAnsi" w:eastAsiaTheme="minorHAnsi" w:hAnsiTheme="minorHAnsi"/>
          <w:bCs/>
          <w:sz w:val="24"/>
          <w:szCs w:val="24"/>
        </w:rPr>
        <w:t>2</w:t>
      </w:r>
      <w:r w:rsidRPr="005563FB">
        <w:rPr>
          <w:rFonts w:asciiTheme="minorHAnsi" w:eastAsiaTheme="minorHAnsi" w:hAnsiTheme="minorHAnsi"/>
          <w:bCs/>
          <w:sz w:val="24"/>
          <w:szCs w:val="24"/>
        </w:rPr>
        <w:t>.godinu: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77"/>
        <w:gridCol w:w="3471"/>
        <w:gridCol w:w="1134"/>
        <w:gridCol w:w="1275"/>
        <w:gridCol w:w="1134"/>
        <w:gridCol w:w="846"/>
        <w:gridCol w:w="997"/>
      </w:tblGrid>
      <w:tr w:rsidR="002128FA" w:rsidRPr="004B4BE8" w14:paraId="12E67FA9" w14:textId="77777777" w:rsidTr="00A64160"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11FD6B" w14:textId="77777777" w:rsidR="002128FA" w:rsidRPr="004B4BE8" w:rsidRDefault="002128FA" w:rsidP="00A6416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33C531" w14:textId="77777777" w:rsidR="002128FA" w:rsidRPr="004B4BE8" w:rsidRDefault="002128FA" w:rsidP="00A6416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20C20A" w14:textId="77777777" w:rsidR="002128FA" w:rsidRPr="004B4BE8" w:rsidRDefault="002128FA" w:rsidP="00A6416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C0E049" w14:textId="77777777" w:rsidR="002128FA" w:rsidRPr="004B4BE8" w:rsidRDefault="002128FA" w:rsidP="00A6416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b/>
                <w:bCs/>
                <w:sz w:val="18"/>
                <w:szCs w:val="18"/>
                <w:lang w:eastAsia="hr-HR"/>
              </w:rPr>
              <w:t>Razlika 2022-2021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692484" w14:textId="77777777" w:rsidR="002128FA" w:rsidRPr="004B4BE8" w:rsidRDefault="002128FA" w:rsidP="00A6416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AAA72E" w14:textId="77777777" w:rsidR="002128FA" w:rsidRPr="004B4BE8" w:rsidRDefault="002128FA" w:rsidP="00A6416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DC77A3" w14:textId="77777777" w:rsidR="002128FA" w:rsidRPr="004B4BE8" w:rsidRDefault="002128FA" w:rsidP="00A6416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b/>
                <w:bCs/>
                <w:sz w:val="18"/>
                <w:szCs w:val="18"/>
                <w:lang w:eastAsia="hr-HR"/>
              </w:rPr>
              <w:t>Udjel 2022.</w:t>
            </w:r>
          </w:p>
        </w:tc>
      </w:tr>
      <w:tr w:rsidR="002128FA" w:rsidRPr="004B4BE8" w14:paraId="2BFFA5B3" w14:textId="77777777" w:rsidTr="00A6416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28E6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C35D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AF63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48.145.402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3253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-1.067.002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46F7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47.078.400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16AC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97,78%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8D03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24,68%</w:t>
            </w:r>
          </w:p>
        </w:tc>
      </w:tr>
      <w:tr w:rsidR="002128FA" w:rsidRPr="004B4BE8" w14:paraId="39691662" w14:textId="77777777" w:rsidTr="00A6416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9661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AC41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091D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56.252.552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6CA8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-6.734.652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620B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49.517.900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00E2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88,03%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C37B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25,96%</w:t>
            </w:r>
          </w:p>
        </w:tc>
      </w:tr>
      <w:tr w:rsidR="002128FA" w:rsidRPr="004B4BE8" w14:paraId="4F11245D" w14:textId="77777777" w:rsidTr="00A6416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7922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C46D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507B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2.069.001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5214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-993.201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A97A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1.075.800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697D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52,00%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B4C7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0,56%</w:t>
            </w:r>
          </w:p>
        </w:tc>
      </w:tr>
      <w:tr w:rsidR="002128FA" w:rsidRPr="004B4BE8" w14:paraId="02AFA095" w14:textId="77777777" w:rsidTr="00A6416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D72E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DFEC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1CE8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2.420.300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9E49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10.114.700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4498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12.535.000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3F2E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517,91%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97E2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6,57%</w:t>
            </w:r>
          </w:p>
        </w:tc>
      </w:tr>
      <w:tr w:rsidR="002128FA" w:rsidRPr="004B4BE8" w14:paraId="2BE8218D" w14:textId="77777777" w:rsidTr="00A6416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21B0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2133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Potpore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7E37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3.480.000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D1E9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-2.090.000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8787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1.390.000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FC23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39,94%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D077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0,73%</w:t>
            </w:r>
          </w:p>
        </w:tc>
      </w:tr>
      <w:tr w:rsidR="002128FA" w:rsidRPr="004B4BE8" w14:paraId="29DBA124" w14:textId="77777777" w:rsidTr="00A6416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DA2B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6315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170F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8.006.000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9328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133.000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5746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8.139.000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E7EE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101,66%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6497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4,27%</w:t>
            </w:r>
          </w:p>
        </w:tc>
      </w:tr>
      <w:tr w:rsidR="002128FA" w:rsidRPr="004B4BE8" w14:paraId="44EE2D4A" w14:textId="77777777" w:rsidTr="00A6416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A2F7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C31C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D9CC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40.260.850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2BAB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-12.610.850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20AD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27.650.000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79B8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68,68%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5EC3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14,50%</w:t>
            </w:r>
          </w:p>
        </w:tc>
      </w:tr>
      <w:tr w:rsidR="002128FA" w:rsidRPr="004B4BE8" w14:paraId="7F3A4E99" w14:textId="77777777" w:rsidTr="00A6416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508B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A41D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Rashodi za nabavu neproizvedene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A82E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29.039.310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C50C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-20.102.310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0781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8.937.000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D384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30,78%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4378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4,69%</w:t>
            </w:r>
          </w:p>
        </w:tc>
      </w:tr>
      <w:tr w:rsidR="002128FA" w:rsidRPr="004B4BE8" w14:paraId="18AB9CD5" w14:textId="77777777" w:rsidTr="00A6416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3505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0151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6E0B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12.259.600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924F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2.538.950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B359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14.798.550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1E39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120,71%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2FB8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7,76%</w:t>
            </w:r>
          </w:p>
        </w:tc>
      </w:tr>
      <w:tr w:rsidR="002128FA" w:rsidRPr="004B4BE8" w14:paraId="3FA1E8D7" w14:textId="77777777" w:rsidTr="00A6416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5BF1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E7BF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Rashodi za plemenite metale, umjetnička i znanstvena djela i ostale vrijednosti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50E5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381D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-5.000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589F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AC6B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50,00%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6AD9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2128FA" w:rsidRPr="004B4BE8" w14:paraId="57C4088F" w14:textId="77777777" w:rsidTr="00A6416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4A0F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0601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2510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19.275.000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A258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-7.455.000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C10A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11.820.000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89E2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61,32%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5022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6,20%</w:t>
            </w:r>
          </w:p>
        </w:tc>
      </w:tr>
      <w:tr w:rsidR="002128FA" w:rsidRPr="004B4BE8" w14:paraId="4B0ACA0E" w14:textId="77777777" w:rsidTr="00A6416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387C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9B0E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2FCA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10.000.000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5211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-2.200.000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2F6B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7.800.000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DC2A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78,00%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E4E3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color w:val="000000"/>
                <w:sz w:val="18"/>
                <w:szCs w:val="18"/>
                <w:lang w:eastAsia="hr-HR"/>
              </w:rPr>
              <w:t>4,09%</w:t>
            </w:r>
          </w:p>
        </w:tc>
      </w:tr>
      <w:tr w:rsidR="002128FA" w:rsidRPr="004B4BE8" w14:paraId="5129CB34" w14:textId="77777777" w:rsidTr="00A64160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F66302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414175" w14:textId="77777777" w:rsidR="002128FA" w:rsidRPr="004B4BE8" w:rsidRDefault="002128FA" w:rsidP="00A6416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78F78D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b/>
                <w:bCs/>
                <w:sz w:val="18"/>
                <w:szCs w:val="18"/>
                <w:lang w:eastAsia="hr-HR"/>
              </w:rPr>
              <w:t>231.218.015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BDB218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b/>
                <w:bCs/>
                <w:sz w:val="18"/>
                <w:szCs w:val="18"/>
                <w:lang w:eastAsia="hr-HR"/>
              </w:rPr>
              <w:t>-40.471.365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65FC57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b/>
                <w:bCs/>
                <w:sz w:val="18"/>
                <w:szCs w:val="18"/>
                <w:lang w:eastAsia="hr-HR"/>
              </w:rPr>
              <w:t>190.746.650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8E633B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b/>
                <w:bCs/>
                <w:sz w:val="18"/>
                <w:szCs w:val="18"/>
                <w:lang w:eastAsia="hr-HR"/>
              </w:rPr>
              <w:t>82,50%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81AF2A" w14:textId="77777777" w:rsidR="002128FA" w:rsidRPr="004B4BE8" w:rsidRDefault="002128FA" w:rsidP="00A64160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4B4BE8">
              <w:rPr>
                <w:rFonts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3A8EA72C" w14:textId="77777777" w:rsidR="003E309F" w:rsidRPr="003E309F" w:rsidRDefault="003E309F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bCs/>
          <w:sz w:val="18"/>
          <w:szCs w:val="18"/>
        </w:rPr>
      </w:pPr>
    </w:p>
    <w:p w14:paraId="702B1C18" w14:textId="7AB860E5" w:rsidR="003E309F" w:rsidRDefault="002128FA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E6A196C" wp14:editId="221CFC79">
            <wp:extent cx="5939790" cy="4543425"/>
            <wp:effectExtent l="19050" t="19050" r="22860" b="9525"/>
            <wp:docPr id="11" name="Grafikon 11">
              <a:extLst xmlns:a="http://schemas.openxmlformats.org/drawingml/2006/main">
                <a:ext uri="{FF2B5EF4-FFF2-40B4-BE49-F238E27FC236}">
                  <a16:creationId xmlns:a16="http://schemas.microsoft.com/office/drawing/2014/main" id="{B14A7021-4FAE-4698-B57B-48A6EB9B47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4E6053D" w14:textId="7A531705" w:rsidR="00671D80" w:rsidRDefault="00671D80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bCs/>
          <w:sz w:val="18"/>
          <w:szCs w:val="18"/>
        </w:rPr>
      </w:pPr>
    </w:p>
    <w:p w14:paraId="60A70F7A" w14:textId="65ABAB5A" w:rsidR="006925F9" w:rsidRPr="00671D80" w:rsidRDefault="006925F9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bCs/>
          <w:sz w:val="18"/>
          <w:szCs w:val="18"/>
        </w:rPr>
      </w:pPr>
      <w:r>
        <w:rPr>
          <w:noProof/>
        </w:rPr>
        <w:drawing>
          <wp:inline distT="0" distB="0" distL="0" distR="0" wp14:anchorId="05D98233" wp14:editId="7D430B24">
            <wp:extent cx="5939790" cy="3714750"/>
            <wp:effectExtent l="19050" t="19050" r="22860" b="19050"/>
            <wp:docPr id="14" name="Grafikon 14">
              <a:extLst xmlns:a="http://schemas.openxmlformats.org/drawingml/2006/main">
                <a:ext uri="{FF2B5EF4-FFF2-40B4-BE49-F238E27FC236}">
                  <a16:creationId xmlns:a16="http://schemas.microsoft.com/office/drawing/2014/main" id="{CFC5BA9E-FB6A-42F3-9E88-6AC3858E7A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EAED2E5" w14:textId="5D39C35C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5563FB">
        <w:rPr>
          <w:rFonts w:asciiTheme="minorHAnsi" w:eastAsiaTheme="minorHAnsi" w:hAnsiTheme="minorHAnsi"/>
          <w:sz w:val="20"/>
          <w:szCs w:val="20"/>
        </w:rPr>
        <w:t>Grafički prikaz strukture rashoda prema planu za 202</w:t>
      </w:r>
      <w:r w:rsidR="006925F9">
        <w:rPr>
          <w:rFonts w:asciiTheme="minorHAnsi" w:eastAsiaTheme="minorHAnsi" w:hAnsiTheme="minorHAnsi"/>
          <w:sz w:val="20"/>
          <w:szCs w:val="20"/>
        </w:rPr>
        <w:t>2</w:t>
      </w:r>
      <w:r w:rsidRPr="005563FB">
        <w:rPr>
          <w:rFonts w:asciiTheme="minorHAnsi" w:eastAsiaTheme="minorHAnsi" w:hAnsiTheme="minorHAnsi"/>
          <w:sz w:val="20"/>
          <w:szCs w:val="20"/>
        </w:rPr>
        <w:t>.godinu</w:t>
      </w:r>
    </w:p>
    <w:p w14:paraId="0E27FE8D" w14:textId="23339FB2" w:rsidR="005563FB" w:rsidRDefault="005563FB" w:rsidP="005563F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</w:rPr>
      </w:pPr>
      <w:r w:rsidRPr="005563FB">
        <w:rPr>
          <w:rFonts w:asciiTheme="minorHAnsi" w:eastAsiaTheme="minorHAnsi" w:hAnsiTheme="minorHAnsi"/>
        </w:rPr>
        <w:t>U nastavku je usporedni prikaz rashoda po vrstama od 201</w:t>
      </w:r>
      <w:r w:rsidR="00AD3770">
        <w:rPr>
          <w:rFonts w:asciiTheme="minorHAnsi" w:eastAsiaTheme="minorHAnsi" w:hAnsiTheme="minorHAnsi"/>
        </w:rPr>
        <w:t>6</w:t>
      </w:r>
      <w:r w:rsidRPr="005563FB">
        <w:rPr>
          <w:rFonts w:asciiTheme="minorHAnsi" w:eastAsiaTheme="minorHAnsi" w:hAnsiTheme="minorHAnsi"/>
        </w:rPr>
        <w:t>-202</w:t>
      </w:r>
      <w:r w:rsidR="00AD3770">
        <w:rPr>
          <w:rFonts w:asciiTheme="minorHAnsi" w:eastAsiaTheme="minorHAnsi" w:hAnsiTheme="minorHAnsi"/>
        </w:rPr>
        <w:t>2</w:t>
      </w:r>
      <w:r w:rsidRPr="005563FB">
        <w:rPr>
          <w:rFonts w:asciiTheme="minorHAnsi" w:eastAsiaTheme="minorHAnsi" w:hAnsiTheme="minorHAnsi"/>
        </w:rPr>
        <w:t>.godine:</w:t>
      </w:r>
    </w:p>
    <w:tbl>
      <w:tblPr>
        <w:tblW w:w="9739" w:type="dxa"/>
        <w:tblLook w:val="04A0" w:firstRow="1" w:lastRow="0" w:firstColumn="1" w:lastColumn="0" w:noHBand="0" w:noVBand="1"/>
      </w:tblPr>
      <w:tblGrid>
        <w:gridCol w:w="704"/>
        <w:gridCol w:w="2126"/>
        <w:gridCol w:w="1027"/>
        <w:gridCol w:w="1099"/>
        <w:gridCol w:w="1027"/>
        <w:gridCol w:w="1027"/>
        <w:gridCol w:w="1027"/>
        <w:gridCol w:w="1027"/>
        <w:gridCol w:w="1027"/>
      </w:tblGrid>
      <w:tr w:rsidR="0002502C" w:rsidRPr="0002502C" w14:paraId="5856F65D" w14:textId="77777777" w:rsidTr="0002502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21C4513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Račun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192CD2F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Naziv                                            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7D6517A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Ostvarenje 2016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4008126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Ostvarenje 2017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26761C1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Ostvarenje 2018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231DDF83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b/>
                <w:bCs/>
                <w:color w:val="000000"/>
                <w:sz w:val="16"/>
                <w:szCs w:val="16"/>
                <w:lang w:val="en-US" w:eastAsia="hr-HR"/>
              </w:rPr>
              <w:t>Ostvarenje 2019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C14797C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Plan 2020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8855C2B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Plan 2021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F2DBA75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Plan 2022</w:t>
            </w:r>
          </w:p>
        </w:tc>
      </w:tr>
      <w:tr w:rsidR="0002502C" w:rsidRPr="0002502C" w14:paraId="2F2DD7FD" w14:textId="77777777" w:rsidTr="000250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4227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8905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36CB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33.037.896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E981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35.190.770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D8F3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38.990.150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A902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39.449.000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9D8D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44.158.200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EC63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47.338.202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545B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47.078.400</w:t>
            </w:r>
          </w:p>
        </w:tc>
      </w:tr>
      <w:tr w:rsidR="0002502C" w:rsidRPr="0002502C" w14:paraId="3BB47606" w14:textId="77777777" w:rsidTr="000250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CFD8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3728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E162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29.068.548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3D00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31.703.634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FF04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46.979.907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2A5F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39.664.741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6A56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48.709.840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2755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51.299.100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A34C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49.517.900</w:t>
            </w:r>
          </w:p>
        </w:tc>
      </w:tr>
      <w:tr w:rsidR="0002502C" w:rsidRPr="0002502C" w14:paraId="3B47248A" w14:textId="77777777" w:rsidTr="000250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8EBC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91E0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EE1B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640.288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5056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750.863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B481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924.000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9AB8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297.302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6760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916.200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A23F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768.200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1298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1.075.800</w:t>
            </w:r>
          </w:p>
        </w:tc>
      </w:tr>
      <w:tr w:rsidR="0002502C" w:rsidRPr="0002502C" w14:paraId="38C091DC" w14:textId="77777777" w:rsidTr="000250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9B60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7229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8941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155.711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4DD8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63.108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1907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230.000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1F46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3.013.901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927B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1.400.000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2830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1.040.000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996D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12.535.000</w:t>
            </w:r>
          </w:p>
        </w:tc>
      </w:tr>
      <w:tr w:rsidR="0002502C" w:rsidRPr="0002502C" w14:paraId="6A673515" w14:textId="77777777" w:rsidTr="000250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85A7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449D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Potpore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18ED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E010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A6DA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1.019.000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9A64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1.031.893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B3B6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825.000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2E99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8.325.000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897B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1.390.000</w:t>
            </w:r>
          </w:p>
        </w:tc>
      </w:tr>
      <w:tr w:rsidR="0002502C" w:rsidRPr="0002502C" w14:paraId="22116885" w14:textId="77777777" w:rsidTr="000250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5B25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5F3A" w14:textId="4D9A3614" w:rsidR="0002502C" w:rsidRPr="0002502C" w:rsidRDefault="0002502C" w:rsidP="0002502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Naknade </w:t>
            </w:r>
            <w:r w:rsidR="00544317"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građanima</w:t>
            </w: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 i </w:t>
            </w:r>
            <w:r w:rsidR="00544317"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kućanstvima</w:t>
            </w: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 na temelju osiguranja i druge naknade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042C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7.345.362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C621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7.677.253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B808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9.370.000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CECB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9.151.914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0AF3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9.950.000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F7E0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10.876.000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1FEB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8.139.000</w:t>
            </w:r>
          </w:p>
        </w:tc>
      </w:tr>
      <w:tr w:rsidR="0002502C" w:rsidRPr="0002502C" w14:paraId="24E5A8C2" w14:textId="77777777" w:rsidTr="000250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6A65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6161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CB63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21.430.308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6644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24.603.728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F540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33.405.000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7B15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36.232.256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9E82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45.649.750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BED0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40.345.000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0661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27.650.000</w:t>
            </w:r>
          </w:p>
        </w:tc>
      </w:tr>
      <w:tr w:rsidR="0002502C" w:rsidRPr="0002502C" w14:paraId="0329E8E4" w14:textId="77777777" w:rsidTr="000250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D513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EF08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Rashodi za nabavu neproizvedene imovine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B110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4.087.019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A4A1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3.192.642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8B08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14.662.350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83E2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5.233.425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1DA4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38.374.000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DA52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28.310.000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490A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8.937.000</w:t>
            </w:r>
          </w:p>
        </w:tc>
      </w:tr>
      <w:tr w:rsidR="0002502C" w:rsidRPr="0002502C" w14:paraId="5FA5691A" w14:textId="77777777" w:rsidTr="000250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27A6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0DAE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Rashodi za nabavu proizvedene dugot.imovine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BF39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4.191.581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E705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8.635.281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6149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9.838.340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FBF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7.655.886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8089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15.951.950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F2EB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13.592.950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F179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14.798.550</w:t>
            </w:r>
          </w:p>
        </w:tc>
      </w:tr>
      <w:tr w:rsidR="0002502C" w:rsidRPr="0002502C" w14:paraId="7ABEB910" w14:textId="77777777" w:rsidTr="000250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E27C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994B" w14:textId="5B9C3CBF" w:rsidR="0002502C" w:rsidRPr="0002502C" w:rsidRDefault="0002502C" w:rsidP="0002502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Rashodi za plemenite metale, </w:t>
            </w:r>
            <w:r w:rsidR="00544317"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umjetnička</w:t>
            </w: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 i znanstv. djela i ost.vrijedn.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C1D0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343B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BC50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10.000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0CB9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EFDF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0F9C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A618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5.000</w:t>
            </w:r>
          </w:p>
        </w:tc>
      </w:tr>
      <w:tr w:rsidR="0002502C" w:rsidRPr="0002502C" w14:paraId="4932390B" w14:textId="77777777" w:rsidTr="000250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8C8F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F33B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21DC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6.678.252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D668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7.518.215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1353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7.175.000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0BD4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13.208.688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9218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14.230.000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6089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16.830.000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3BFE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11.820.000</w:t>
            </w:r>
          </w:p>
        </w:tc>
      </w:tr>
      <w:tr w:rsidR="0002502C" w:rsidRPr="0002502C" w14:paraId="57CD8F0B" w14:textId="77777777" w:rsidTr="000250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368F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E471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8A61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323.132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A871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338.613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E4E4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150.000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0A1E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6596,76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1484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200000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C9D9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13.000.000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3EA7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7.800.000</w:t>
            </w:r>
          </w:p>
        </w:tc>
      </w:tr>
      <w:tr w:rsidR="0002502C" w:rsidRPr="0002502C" w14:paraId="75F794A2" w14:textId="77777777" w:rsidTr="000250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3F574F0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A93C9CA" w14:textId="77777777" w:rsidR="0002502C" w:rsidRPr="0002502C" w:rsidRDefault="0002502C" w:rsidP="0002502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 SVEUKUPNO RASHODI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12B149D7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106.978.098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366A6F88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val="en-US" w:eastAsia="hr-HR"/>
              </w:rPr>
              <w:t>119.674.106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2C45979D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162.753.747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4D62866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154.945.602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26D873AC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220.374.940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58DA642D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231.734.452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4D41F241" w14:textId="77777777" w:rsidR="0002502C" w:rsidRPr="0002502C" w:rsidRDefault="0002502C" w:rsidP="0002502C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02502C">
              <w:rPr>
                <w:rFonts w:cs="Calibri"/>
                <w:color w:val="000000"/>
                <w:sz w:val="16"/>
                <w:szCs w:val="16"/>
                <w:lang w:eastAsia="hr-HR"/>
              </w:rPr>
              <w:t>190.746.650</w:t>
            </w:r>
          </w:p>
        </w:tc>
      </w:tr>
    </w:tbl>
    <w:p w14:paraId="7349FCC5" w14:textId="78731058" w:rsidR="004B4BE8" w:rsidRDefault="004B4BE8" w:rsidP="005563F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</w:rPr>
      </w:pPr>
    </w:p>
    <w:p w14:paraId="7146E6B1" w14:textId="745A709D" w:rsidR="004B4BE8" w:rsidRDefault="0091527C" w:rsidP="005563F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</w:rPr>
      </w:pPr>
      <w:r>
        <w:rPr>
          <w:noProof/>
        </w:rPr>
        <w:drawing>
          <wp:inline distT="0" distB="0" distL="0" distR="0" wp14:anchorId="4C9F1DC3" wp14:editId="3D03064F">
            <wp:extent cx="5991225" cy="4867275"/>
            <wp:effectExtent l="19050" t="19050" r="9525" b="9525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038A8EBB-DFC8-455C-845B-6100910292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FA7404F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5563FB">
        <w:rPr>
          <w:rFonts w:asciiTheme="minorHAnsi" w:eastAsiaTheme="minorHAnsi" w:hAnsiTheme="minorHAnsi"/>
          <w:sz w:val="20"/>
          <w:szCs w:val="20"/>
        </w:rPr>
        <w:t>Grafički prikaz usporedbe rashoda i izdataka</w:t>
      </w:r>
    </w:p>
    <w:p w14:paraId="25579814" w14:textId="77777777" w:rsidR="005563FB" w:rsidRPr="005563FB" w:rsidRDefault="005563FB" w:rsidP="0069710B">
      <w:pPr>
        <w:pStyle w:val="Naslov3"/>
        <w:numPr>
          <w:ilvl w:val="2"/>
          <w:numId w:val="4"/>
        </w:numPr>
      </w:pPr>
      <w:bookmarkStart w:id="12" w:name="_Toc88555241"/>
      <w:r w:rsidRPr="005563FB">
        <w:t>RASHODI PO IZVORIMA FINANCIRANJA</w:t>
      </w:r>
      <w:bookmarkEnd w:id="12"/>
      <w:r w:rsidRPr="005563FB">
        <w:t xml:space="preserve"> </w:t>
      </w:r>
    </w:p>
    <w:p w14:paraId="2C71FCF3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  <w:r w:rsidRPr="005563FB">
        <w:rPr>
          <w:rFonts w:asciiTheme="minorHAnsi" w:eastAsiaTheme="minorHAnsi" w:hAnsiTheme="minorHAnsi"/>
          <w:color w:val="000000"/>
          <w:sz w:val="24"/>
          <w:szCs w:val="24"/>
        </w:rPr>
        <w:t>Za svaki od prihoda određeno je uz koji se izvor financiranja veže, a rashodi se izvršavaju s obzirom na plan i ostvarenje prihoda prema izvorima.</w:t>
      </w:r>
    </w:p>
    <w:p w14:paraId="2C01CD45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5C2CA57C" w14:textId="258A02EE" w:rsid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5563FB">
        <w:rPr>
          <w:rFonts w:asciiTheme="minorHAnsi" w:eastAsiaTheme="minorHAnsi" w:hAnsiTheme="minorHAnsi"/>
          <w:sz w:val="24"/>
          <w:szCs w:val="24"/>
        </w:rPr>
        <w:t>U nastavku se daje struktura proračuna prema izvorima financiranja: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846"/>
        <w:gridCol w:w="4252"/>
        <w:gridCol w:w="1134"/>
        <w:gridCol w:w="992"/>
        <w:gridCol w:w="1032"/>
        <w:gridCol w:w="776"/>
        <w:gridCol w:w="780"/>
      </w:tblGrid>
      <w:tr w:rsidR="00F72199" w:rsidRPr="00F72199" w14:paraId="7D2AEDE9" w14:textId="77777777" w:rsidTr="00F7219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84A21A0" w14:textId="77777777" w:rsidR="00F72199" w:rsidRPr="00F72199" w:rsidRDefault="00F72199" w:rsidP="00F7219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b/>
                <w:bCs/>
                <w:sz w:val="16"/>
                <w:szCs w:val="16"/>
                <w:lang w:eastAsia="hr-HR"/>
              </w:rPr>
              <w:t>Račun/ izvor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F89972" w14:textId="77777777" w:rsidR="00F72199" w:rsidRPr="00F72199" w:rsidRDefault="00F72199" w:rsidP="00F7219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b/>
                <w:bCs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23653C" w14:textId="77777777" w:rsidR="00F72199" w:rsidRPr="00F72199" w:rsidRDefault="00F72199" w:rsidP="00F7219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b/>
                <w:bCs/>
                <w:sz w:val="16"/>
                <w:szCs w:val="16"/>
                <w:lang w:eastAsia="hr-HR"/>
              </w:rPr>
              <w:t>Plan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EF78D3" w14:textId="77777777" w:rsidR="00F72199" w:rsidRPr="00F72199" w:rsidRDefault="00F72199" w:rsidP="00F7219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b/>
                <w:bCs/>
                <w:sz w:val="16"/>
                <w:szCs w:val="16"/>
                <w:lang w:eastAsia="hr-HR"/>
              </w:rPr>
              <w:t>Razlika 2022-2021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FB222D" w14:textId="77777777" w:rsidR="00F72199" w:rsidRPr="00F72199" w:rsidRDefault="00F72199" w:rsidP="00F7219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b/>
                <w:bCs/>
                <w:sz w:val="16"/>
                <w:szCs w:val="16"/>
                <w:lang w:eastAsia="hr-HR"/>
              </w:rPr>
              <w:t>Plan 2022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5AE4ED" w14:textId="77777777" w:rsidR="00F72199" w:rsidRPr="00F72199" w:rsidRDefault="00F72199" w:rsidP="00F7219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20D23FF" w14:textId="77777777" w:rsidR="00F72199" w:rsidRPr="00F72199" w:rsidRDefault="00F72199" w:rsidP="00F7219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b/>
                <w:bCs/>
                <w:sz w:val="16"/>
                <w:szCs w:val="16"/>
                <w:lang w:eastAsia="hr-HR"/>
              </w:rPr>
              <w:t>Udjel 2022.</w:t>
            </w:r>
          </w:p>
        </w:tc>
      </w:tr>
      <w:tr w:rsidR="00F72199" w:rsidRPr="00F72199" w14:paraId="79E749E6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F602A5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2D06FA5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5808F2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114.279.000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5C1D5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3.425.100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DF0633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117.704.100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FD99B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103,00%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EFEA40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58,93%</w:t>
            </w:r>
          </w:p>
        </w:tc>
      </w:tr>
      <w:tr w:rsidR="00F72199" w:rsidRPr="00F72199" w14:paraId="478113C1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06F3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5EA2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5C32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90.725.000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C102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4.090.000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313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94.815.000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A309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104,51%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4F82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47,47%</w:t>
            </w:r>
          </w:p>
        </w:tc>
      </w:tr>
      <w:tr w:rsidR="00F72199" w:rsidRPr="00F72199" w14:paraId="7DD087C7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B1AC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F62A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8B8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21.200.000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F92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AE39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21.200.000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99D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DFB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10,61%</w:t>
            </w:r>
          </w:p>
        </w:tc>
      </w:tr>
      <w:tr w:rsidR="00F72199" w:rsidRPr="00F72199" w14:paraId="39CB315C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CE82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3CC0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5E5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886C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100.100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4AC9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201.100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D9AA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199,11%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FDA9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0,10%</w:t>
            </w:r>
          </w:p>
        </w:tc>
      </w:tr>
      <w:tr w:rsidR="00F72199" w:rsidRPr="00F72199" w14:paraId="4D1569C9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5EBA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EA46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administrativnih pristojbi i po posebnim propisima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5E10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1.081.000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757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-121.000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0E0D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960.000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EF0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88,81%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AA8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0,48%</w:t>
            </w:r>
          </w:p>
        </w:tc>
      </w:tr>
      <w:tr w:rsidR="00F72199" w:rsidRPr="00F72199" w14:paraId="584F7ECA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2A12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DD84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Kazne, upravne pristojbe i ostali 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D6C9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420.000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C1F3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5473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528.000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C36E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125,71%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0BFC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0,26%</w:t>
            </w:r>
          </w:p>
        </w:tc>
      </w:tr>
      <w:tr w:rsidR="00F72199" w:rsidRPr="00F72199" w14:paraId="78F09A5A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E6B8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0ACA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E198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4183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086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E14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6CA3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F72199" w:rsidRPr="00F72199" w14:paraId="57CE455A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15E79B0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112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6F2CAD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Opći prihodi i primici-decentralizirane funkcije JVP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411DD97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750.000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C6E9D2E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90D7D0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1B401D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B715D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F72199" w:rsidRPr="00F72199" w14:paraId="2E987F94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82E3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F53E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F688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750.000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A349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063A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CFB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6D0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F72199" w:rsidRPr="00F72199" w14:paraId="003FFF46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B631DCB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7AC419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C1B44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2.147.800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2D95F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-1.513.500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DE982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634.300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7F8980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29,53%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CAC6F8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0,32%</w:t>
            </w:r>
          </w:p>
        </w:tc>
      </w:tr>
      <w:tr w:rsidR="00F72199" w:rsidRPr="00F72199" w14:paraId="1FD436B5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D88D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74F0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E9A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397.800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F2D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236.500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3AFD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634.300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DDE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159,45%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4A52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0,32%</w:t>
            </w:r>
          </w:p>
        </w:tc>
      </w:tr>
      <w:tr w:rsidR="00F72199" w:rsidRPr="00F72199" w14:paraId="36EA761A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B438E9A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211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C28369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Pomoći drž. proračuna-izravnanja za decentralizirane funkcije JVP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6382857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1.750.000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70593E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-1.750.000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1C458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A38FF3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D6438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F72199" w:rsidRPr="00F72199" w14:paraId="7A287CDF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A347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CC50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D3A9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1.750.000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AF8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-1.750.000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52D7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CD90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BD6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F72199" w:rsidRPr="00F72199" w14:paraId="728522B6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4B7064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23B66C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1A1E1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875.000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00E517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-505.000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619EE9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370.000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1A3EB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42,29%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BE4C5CD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0,19%</w:t>
            </w:r>
          </w:p>
        </w:tc>
      </w:tr>
      <w:tr w:rsidR="00F72199" w:rsidRPr="00F72199" w14:paraId="308E3CD2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86C4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07B7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AA5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875.000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4BB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-505.000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701E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370.000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F10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42,29%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B533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0,19%</w:t>
            </w:r>
          </w:p>
        </w:tc>
      </w:tr>
      <w:tr w:rsidR="00F72199" w:rsidRPr="00F72199" w14:paraId="37911827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BC00F37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14A365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državnog proračuna temeljem prijenosa EU sredstava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CD418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10.278.102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58420C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-3.425.602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9EA83F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6.852.500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D4E6F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66,67%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AD0B2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3,43%</w:t>
            </w:r>
          </w:p>
        </w:tc>
      </w:tr>
      <w:tr w:rsidR="00F72199" w:rsidRPr="00F72199" w14:paraId="74BBE350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7339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307D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22FE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10.278.102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669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-3.425.602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22C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6.852.500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9638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66,67%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BF5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3,43%</w:t>
            </w:r>
          </w:p>
        </w:tc>
      </w:tr>
      <w:tr w:rsidR="00F72199" w:rsidRPr="00F72199" w14:paraId="12826BE6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70C602F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D2C91C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Pomoći od izvanproračunskih korisnika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7A0F7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6.973.200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AF147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-473.200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1B16F8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F10546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93,21%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82BC6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3,25%</w:t>
            </w:r>
          </w:p>
        </w:tc>
      </w:tr>
      <w:tr w:rsidR="00F72199" w:rsidRPr="00F72199" w14:paraId="764C862E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1E0A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240D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C5F7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6.973.200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53E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-473.200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56B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E69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93,21%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AC1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3,25%</w:t>
            </w:r>
          </w:p>
        </w:tc>
      </w:tr>
      <w:tr w:rsidR="00F72199" w:rsidRPr="00F72199" w14:paraId="30690B1F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C489C5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E63C88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Pomoći od međunarodnih organizacija temeljem prijenosa EU sredstava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AD11E3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3.593.000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93FB33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-1.768.000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187CD0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1.825.000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79149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50,79%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190887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0,91%</w:t>
            </w:r>
          </w:p>
        </w:tc>
      </w:tr>
      <w:tr w:rsidR="00F72199" w:rsidRPr="00F72199" w14:paraId="52F50C25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6334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8B8B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428A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3.593.000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895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-1.768.000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B27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1.825.000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F7A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50,79%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015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0,91%</w:t>
            </w:r>
          </w:p>
        </w:tc>
      </w:tr>
      <w:tr w:rsidR="00F72199" w:rsidRPr="00F72199" w14:paraId="50FFED3C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DFC15C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0998B3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33E04D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5.135.743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30923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474.857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E65E9DA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5.610.600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6C9079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109,25%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34286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2,81%</w:t>
            </w:r>
          </w:p>
        </w:tc>
      </w:tr>
      <w:tr w:rsidR="00F72199" w:rsidRPr="00F72199" w14:paraId="4C2024B4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F882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4150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425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3.810.000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2C13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AE8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4.310.000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E11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113,12%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C862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2,16%</w:t>
            </w:r>
          </w:p>
        </w:tc>
      </w:tr>
      <w:tr w:rsidR="00F72199" w:rsidRPr="00F72199" w14:paraId="29999ADD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E3B6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7A2F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385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1.325.643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1E39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-25.043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488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1.300.600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120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98,11%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45C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0,65%</w:t>
            </w:r>
          </w:p>
        </w:tc>
      </w:tr>
      <w:tr w:rsidR="00F72199" w:rsidRPr="00F72199" w14:paraId="2295B60C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C809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C5A4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07E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C02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311E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386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552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F72199" w:rsidRPr="00F72199" w14:paraId="72221E46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75B9C8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41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3651C2E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Komunalna naknada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F6C11E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31.000.000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5B5C6A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F5110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32.000.000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9BB839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103,23%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F74BC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16,02%</w:t>
            </w:r>
          </w:p>
        </w:tc>
      </w:tr>
      <w:tr w:rsidR="00F72199" w:rsidRPr="00F72199" w14:paraId="591C097D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6A9A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6380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administrativnih pristojbi i po posebnim propisima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D8E8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31.000.000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E09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114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32.000.000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7847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103,23%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318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16,02%</w:t>
            </w:r>
          </w:p>
        </w:tc>
      </w:tr>
      <w:tr w:rsidR="00F72199" w:rsidRPr="00F72199" w14:paraId="655D1B6D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A4E245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892D16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Komunalni doprinos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4936B6D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9.900.000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68D048D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AF4416E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11.000.000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7EF93E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111,11%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2CA90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5,51%</w:t>
            </w:r>
          </w:p>
        </w:tc>
      </w:tr>
      <w:tr w:rsidR="00F72199" w:rsidRPr="00F72199" w14:paraId="5B350B5E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131E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3CAA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administrativnih pristojbi i po posebnim propisima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2CA3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9.900.000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2BC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49FA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11.000.000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E4D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111,11%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0BD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5,51%</w:t>
            </w:r>
          </w:p>
        </w:tc>
      </w:tr>
      <w:tr w:rsidR="00F72199" w:rsidRPr="00F72199" w14:paraId="6748C3C4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020911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43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228493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44EC78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14.809.465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30952E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-2.978.065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ED7DA88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11.831.400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E75E90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79,89%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2374E8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5,92%</w:t>
            </w:r>
          </w:p>
        </w:tc>
      </w:tr>
      <w:tr w:rsidR="00F72199" w:rsidRPr="00F72199" w14:paraId="6B58A4C8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2E16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F3D0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22BD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890.800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A500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-90.800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99A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C09E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89,81%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3269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0,40%</w:t>
            </w:r>
          </w:p>
        </w:tc>
      </w:tr>
      <w:tr w:rsidR="00F72199" w:rsidRPr="00F72199" w14:paraId="1210B831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872A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2F7F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administrativnih pristojbi i po posebnim propisima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01CA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13.918.665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7688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-2.887.265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F23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11.031.400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BAF0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79,26%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614E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5,52%</w:t>
            </w:r>
          </w:p>
        </w:tc>
      </w:tr>
      <w:tr w:rsidR="00F72199" w:rsidRPr="00F72199" w14:paraId="1F03C85D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676F4E3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44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9D6E13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Spomenička renta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949EEC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6A1C3A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6DB207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78CC9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4EB85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F72199" w:rsidRPr="00F72199" w14:paraId="54BB0557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65EF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6CF9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5CB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53D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088A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8122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B78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F72199" w:rsidRPr="00F72199" w14:paraId="6973A9AB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C8B1E6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5D8F7C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Naknade za koncesije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565419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E52AF0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ACE339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95D7BA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81D922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0,75%</w:t>
            </w:r>
          </w:p>
        </w:tc>
      </w:tr>
      <w:tr w:rsidR="00F72199" w:rsidRPr="00F72199" w14:paraId="2D404482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E76E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266C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F7A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2D78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1FF8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62F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203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0,75%</w:t>
            </w:r>
          </w:p>
        </w:tc>
      </w:tr>
      <w:tr w:rsidR="00F72199" w:rsidRPr="00F72199" w14:paraId="2D83D797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90F77F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46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73912C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Vodni doprinos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9538DC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0B33980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6B1946E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980AE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E698E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0,30%</w:t>
            </w:r>
          </w:p>
        </w:tc>
      </w:tr>
      <w:tr w:rsidR="00F72199" w:rsidRPr="00F72199" w14:paraId="0FC3BEFF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8C41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6FA2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administrativnih pristojbi i po posebnim propisima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6169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BE88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228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549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CA2C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0,30%</w:t>
            </w:r>
          </w:p>
        </w:tc>
      </w:tr>
      <w:tr w:rsidR="00F72199" w:rsidRPr="00F72199" w14:paraId="4F667854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82FB46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2EEA6F0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871E5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1.686.000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A4426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-236.000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2935B5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1.450.000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247CE9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86,00%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D8E217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0,73%</w:t>
            </w:r>
          </w:p>
        </w:tc>
      </w:tr>
      <w:tr w:rsidR="00F72199" w:rsidRPr="00F72199" w14:paraId="60DE74F1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FE8A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CDAC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1BA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1.686.000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72D0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-236.000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88A7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1.450.000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488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86,00%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74E7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0,73%</w:t>
            </w:r>
          </w:p>
        </w:tc>
      </w:tr>
      <w:tr w:rsidR="00F72199" w:rsidRPr="00F72199" w14:paraId="093BBE70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393623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DECED5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i zamjene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B18D5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1.200.000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88BCF0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6C53E26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7EDEE0D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16,67%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D2560A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0,10%</w:t>
            </w:r>
          </w:p>
        </w:tc>
      </w:tr>
      <w:tr w:rsidR="00F72199" w:rsidRPr="00F72199" w14:paraId="22CA4A8F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8B74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C6E4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neproizvedene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0C4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6FA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-900.000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AA9C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202D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41C8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F72199" w:rsidRPr="00F72199" w14:paraId="56AE80F7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0C91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EE7D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2D1E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AD77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98B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0F8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50,00%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80BC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F72199" w:rsidRPr="00F72199" w14:paraId="6F622246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96674E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62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062AE6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naknada s naslova osiguranja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A8944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490.000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4DD9C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-440.000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2A9CEDD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71C71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10,20%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EF3F7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0,03%</w:t>
            </w:r>
          </w:p>
        </w:tc>
      </w:tr>
      <w:tr w:rsidR="00F72199" w:rsidRPr="00F72199" w14:paraId="154807B2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CF2B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624A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administrativnih pristojbi i po posebnim propisima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772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490.000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6EA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-440.000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17AA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B44B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10,20%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6B6C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0,03%</w:t>
            </w:r>
          </w:p>
        </w:tc>
      </w:tr>
      <w:tr w:rsidR="00F72199" w:rsidRPr="00F72199" w14:paraId="75CE63A0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5BFC14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Izvor: 71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E23885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Namjenski primici od financijske imovine i zaduživanja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79F3B6D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2B7C13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1.518.750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7BC46D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1.518.750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2B6FF2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729BC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0,76%</w:t>
            </w:r>
          </w:p>
        </w:tc>
      </w:tr>
      <w:tr w:rsidR="00F72199" w:rsidRPr="00F72199" w14:paraId="282E5999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DE86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75A6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3945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EF58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1.518.750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F6A8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1.518.750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7641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72AF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color w:val="000000"/>
                <w:sz w:val="16"/>
                <w:szCs w:val="16"/>
                <w:lang w:eastAsia="hr-HR"/>
              </w:rPr>
              <w:t>0,76%</w:t>
            </w:r>
          </w:p>
        </w:tc>
      </w:tr>
      <w:tr w:rsidR="00F72199" w:rsidRPr="00F72199" w14:paraId="6CBFAF76" w14:textId="77777777" w:rsidTr="00F7219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301B00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888F5C" w14:textId="77777777" w:rsidR="00F72199" w:rsidRPr="00F72199" w:rsidRDefault="00F72199" w:rsidP="00F7219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b/>
                <w:bCs/>
                <w:sz w:val="16"/>
                <w:szCs w:val="16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F0BDC0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b/>
                <w:bCs/>
                <w:sz w:val="16"/>
                <w:szCs w:val="16"/>
                <w:lang w:eastAsia="hr-HR"/>
              </w:rPr>
              <w:t>204.567.310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AC3603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b/>
                <w:bCs/>
                <w:sz w:val="16"/>
                <w:szCs w:val="16"/>
                <w:lang w:eastAsia="hr-HR"/>
              </w:rPr>
              <w:t>-4.820.660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A0BA9A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b/>
                <w:bCs/>
                <w:sz w:val="16"/>
                <w:szCs w:val="16"/>
                <w:lang w:eastAsia="hr-HR"/>
              </w:rPr>
              <w:t>199.746.650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23718D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b/>
                <w:bCs/>
                <w:sz w:val="16"/>
                <w:szCs w:val="16"/>
                <w:lang w:eastAsia="hr-HR"/>
              </w:rPr>
              <w:t>97,64%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C7EC44" w14:textId="77777777" w:rsidR="00F72199" w:rsidRPr="00F72199" w:rsidRDefault="00F72199" w:rsidP="00F72199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F72199">
              <w:rPr>
                <w:rFonts w:cs="Calibri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</w:tbl>
    <w:p w14:paraId="3A9F29D8" w14:textId="071524F4" w:rsidR="00F72199" w:rsidRPr="00F72199" w:rsidRDefault="00F72199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16"/>
          <w:szCs w:val="16"/>
        </w:rPr>
      </w:pPr>
    </w:p>
    <w:p w14:paraId="140924D9" w14:textId="3DD7615D" w:rsidR="00097999" w:rsidRPr="00097999" w:rsidRDefault="00097999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16"/>
          <w:szCs w:val="16"/>
        </w:rPr>
      </w:pPr>
    </w:p>
    <w:p w14:paraId="652D2F8A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1185B473" w14:textId="77777777" w:rsidR="005563FB" w:rsidRPr="005563FB" w:rsidRDefault="005563FB" w:rsidP="0069710B">
      <w:pPr>
        <w:pStyle w:val="Naslov3"/>
        <w:numPr>
          <w:ilvl w:val="2"/>
          <w:numId w:val="4"/>
        </w:numPr>
        <w:ind w:right="2124"/>
      </w:pPr>
      <w:bookmarkStart w:id="13" w:name="_Toc88555242"/>
      <w:r w:rsidRPr="005563FB">
        <w:t>RASHODI PO FUNKCIJSKOJ KLASIFIKACIJI</w:t>
      </w:r>
      <w:bookmarkEnd w:id="13"/>
      <w:r w:rsidRPr="005563FB">
        <w:t xml:space="preserve"> </w:t>
      </w:r>
    </w:p>
    <w:p w14:paraId="2D70B234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</w:rPr>
      </w:pPr>
      <w:r w:rsidRPr="005563FB">
        <w:rPr>
          <w:rFonts w:asciiTheme="minorHAnsi" w:eastAsiaTheme="minorHAnsi" w:hAnsiTheme="minorHAnsi"/>
          <w:color w:val="000000"/>
        </w:rPr>
        <w:t xml:space="preserve">Funkcijska klasifikacija pokazuje aktivnosti jedinice lokalne i područne (regionalne) samouprave organizirane i razvrstane prema ulaganjima sredstava u djelatnost: opće javne usluge, javni red i sigurnost, ekonomske poslove, zaštitu okoliša, unapređenje stanovanja i stambeno komunalne djelatnosti, zdravstvo, rekreaciju te kulturnu i vjersku djelatnost, obrazovanje i socijalnu zaštitu i ostalo </w:t>
      </w:r>
    </w:p>
    <w:p w14:paraId="57714F67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</w:rPr>
      </w:pPr>
    </w:p>
    <w:p w14:paraId="31000C71" w14:textId="006F56E2" w:rsid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</w:rPr>
      </w:pPr>
      <w:r w:rsidRPr="005563FB">
        <w:rPr>
          <w:rFonts w:asciiTheme="minorHAnsi" w:eastAsiaTheme="minorHAnsi" w:hAnsiTheme="minorHAnsi"/>
          <w:color w:val="000000"/>
        </w:rPr>
        <w:t xml:space="preserve">U nastavku se daje struktura plana proračuna Grada Kaštela </w:t>
      </w:r>
      <w:r w:rsidRPr="00DA5563">
        <w:rPr>
          <w:rFonts w:asciiTheme="minorHAnsi" w:eastAsiaTheme="minorHAnsi" w:hAnsiTheme="minorHAnsi"/>
          <w:color w:val="000000"/>
        </w:rPr>
        <w:t>za 202</w:t>
      </w:r>
      <w:r w:rsidR="00DA5563" w:rsidRPr="00DA5563">
        <w:rPr>
          <w:rFonts w:asciiTheme="minorHAnsi" w:eastAsiaTheme="minorHAnsi" w:hAnsiTheme="minorHAnsi"/>
          <w:color w:val="000000"/>
        </w:rPr>
        <w:t>2</w:t>
      </w:r>
      <w:r w:rsidRPr="00DA5563">
        <w:rPr>
          <w:rFonts w:asciiTheme="minorHAnsi" w:eastAsiaTheme="minorHAnsi" w:hAnsiTheme="minorHAnsi"/>
          <w:color w:val="000000"/>
        </w:rPr>
        <w:t>.godinu</w:t>
      </w:r>
      <w:r w:rsidRPr="005563FB">
        <w:rPr>
          <w:rFonts w:asciiTheme="minorHAnsi" w:eastAsiaTheme="minorHAnsi" w:hAnsiTheme="minorHAnsi"/>
          <w:color w:val="000000"/>
        </w:rPr>
        <w:t xml:space="preserve"> prema funkcijskoj klasifikaciji:</w:t>
      </w:r>
    </w:p>
    <w:p w14:paraId="4066333C" w14:textId="2BC8508D" w:rsidR="005768B6" w:rsidRDefault="005768B6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</w:rPr>
      </w:pPr>
    </w:p>
    <w:tbl>
      <w:tblPr>
        <w:tblW w:w="9487" w:type="dxa"/>
        <w:tblLook w:val="04A0" w:firstRow="1" w:lastRow="0" w:firstColumn="1" w:lastColumn="0" w:noHBand="0" w:noVBand="1"/>
      </w:tblPr>
      <w:tblGrid>
        <w:gridCol w:w="704"/>
        <w:gridCol w:w="3686"/>
        <w:gridCol w:w="1134"/>
        <w:gridCol w:w="1042"/>
        <w:gridCol w:w="1134"/>
        <w:gridCol w:w="937"/>
        <w:gridCol w:w="850"/>
      </w:tblGrid>
      <w:tr w:rsidR="005768B6" w:rsidRPr="005768B6" w14:paraId="25D2A5B5" w14:textId="77777777" w:rsidTr="005768B6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612902A" w14:textId="77777777" w:rsidR="005768B6" w:rsidRPr="005768B6" w:rsidRDefault="005768B6" w:rsidP="005768B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b/>
                <w:bCs/>
                <w:sz w:val="18"/>
                <w:szCs w:val="18"/>
                <w:lang w:eastAsia="hr-HR"/>
              </w:rPr>
              <w:t>Funkc. Klas.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317433" w14:textId="77777777" w:rsidR="005768B6" w:rsidRPr="005768B6" w:rsidRDefault="005768B6" w:rsidP="005768B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43934E" w14:textId="77777777" w:rsidR="005768B6" w:rsidRPr="005768B6" w:rsidRDefault="005768B6" w:rsidP="005768B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76FBD1" w14:textId="77777777" w:rsidR="005768B6" w:rsidRPr="005768B6" w:rsidRDefault="005768B6" w:rsidP="005768B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b/>
                <w:bCs/>
                <w:sz w:val="18"/>
                <w:szCs w:val="18"/>
                <w:lang w:eastAsia="hr-HR"/>
              </w:rPr>
              <w:t>Razlika 2022-2021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A74AA7" w14:textId="77777777" w:rsidR="005768B6" w:rsidRPr="005768B6" w:rsidRDefault="005768B6" w:rsidP="005768B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E7DEAE" w14:textId="77777777" w:rsidR="005768B6" w:rsidRPr="005768B6" w:rsidRDefault="005768B6" w:rsidP="005768B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569659" w14:textId="77777777" w:rsidR="005768B6" w:rsidRPr="005768B6" w:rsidRDefault="005768B6" w:rsidP="005768B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b/>
                <w:bCs/>
                <w:sz w:val="18"/>
                <w:szCs w:val="18"/>
                <w:lang w:eastAsia="hr-HR"/>
              </w:rPr>
              <w:t>Udjel 2022.</w:t>
            </w:r>
          </w:p>
        </w:tc>
      </w:tr>
      <w:tr w:rsidR="005768B6" w:rsidRPr="005768B6" w14:paraId="1AC9FEF2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CE46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0BC7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Izvršna i zakonodavna tijela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9B8C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1.777.500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23EC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478.700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FB50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2.256.200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F917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126,93%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B6B4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1,18%</w:t>
            </w:r>
          </w:p>
        </w:tc>
      </w:tr>
      <w:tr w:rsidR="005768B6" w:rsidRPr="005768B6" w14:paraId="378D08F4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3E96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0112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F4EE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Financijski i fiskalni poslovi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32A3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37.379.010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91DF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-26.686.010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FF30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10.693.000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B2D9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28,61%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0393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5,61%</w:t>
            </w:r>
          </w:p>
        </w:tc>
      </w:tr>
      <w:tr w:rsidR="005768B6" w:rsidRPr="005768B6" w14:paraId="3ED1BC36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3782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0131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38EB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Opće usluge vezane za službenike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35CF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21.769.500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2702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389.500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5C47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22.159.000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0701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101,79%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8AD5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11,62%</w:t>
            </w:r>
          </w:p>
        </w:tc>
      </w:tr>
      <w:tr w:rsidR="005768B6" w:rsidRPr="005768B6" w14:paraId="2292DD6E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2B40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 xml:space="preserve"> 0133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0299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Ostale opće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AB4E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1.902.050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B5C3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-357.050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DF4B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1.545.000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17D5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81,23%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538C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0,81%</w:t>
            </w:r>
          </w:p>
        </w:tc>
      </w:tr>
      <w:tr w:rsidR="005768B6" w:rsidRPr="005768B6" w14:paraId="34E0B495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87F2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0160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3797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Opće javne usluge koje nisu drugdje svrstane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6C40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390.000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CFA2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95.000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4169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485.000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1E88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124,36%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0287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0,25%</w:t>
            </w:r>
          </w:p>
        </w:tc>
      </w:tr>
      <w:tr w:rsidR="005768B6" w:rsidRPr="005768B6" w14:paraId="412E7D85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932B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 xml:space="preserve"> 0320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A6B2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Usluge protupožarne zaštite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DED9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7.060.000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D8B1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-2.640.000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B813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4.420.000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661A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62,61%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CBEF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2,32%</w:t>
            </w:r>
          </w:p>
        </w:tc>
      </w:tr>
      <w:tr w:rsidR="005768B6" w:rsidRPr="005768B6" w14:paraId="1FA688C4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2E29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 xml:space="preserve"> 0360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A261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Rashodi za javni red i sigurnost koji nisu drugdje svrstani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21A7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585.000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E945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E198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635.000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62C8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108,55%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4EF9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0,33%</w:t>
            </w:r>
          </w:p>
        </w:tc>
      </w:tr>
      <w:tr w:rsidR="005768B6" w:rsidRPr="005768B6" w14:paraId="680FDABE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86AB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0411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2230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Opći ekonomski i trgovački poslovi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83FF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260.000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B184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3.895.000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F3A9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4.155.000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8B04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1598,08%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CC27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2,18%</w:t>
            </w:r>
          </w:p>
        </w:tc>
      </w:tr>
      <w:tr w:rsidR="005768B6" w:rsidRPr="005768B6" w14:paraId="402F9D50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9E6A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17DC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Poljoprivreda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141C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400.000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510F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92F3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60B4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867F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768B6" w:rsidRPr="005768B6" w14:paraId="7D00B5A9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E48B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AA92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Cestovni promet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8977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14.260.000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7FAF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-210.000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342A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14.050.000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160E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98,53%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1F61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7,37%</w:t>
            </w:r>
          </w:p>
        </w:tc>
      </w:tr>
      <w:tr w:rsidR="005768B6" w:rsidRPr="005768B6" w14:paraId="52273A2D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041D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 xml:space="preserve"> 0473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9FC7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Turizam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8DEE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A7DE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E9A1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BA99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7C1D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768B6" w:rsidRPr="005768B6" w14:paraId="3067BA1F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C1CA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0474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3C60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Višenamjenski razvojni projekti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E81F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1.485.300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BE6A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-1.485.300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911F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16F9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1796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768B6" w:rsidRPr="005768B6" w14:paraId="4EFE03C5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0EEE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 xml:space="preserve"> 0490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87DE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Ekonomski poslovi koji nisu drugdje svrstani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2D76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15.759.102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CB3B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-5.758.102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5539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10.001.000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4DCA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63,46%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0F4E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5,24%</w:t>
            </w:r>
          </w:p>
        </w:tc>
      </w:tr>
      <w:tr w:rsidR="005768B6" w:rsidRPr="005768B6" w14:paraId="61CA8137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6DA5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0510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F496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E753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2.910.000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3AE8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865.000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7FB7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3.775.000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7A7B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129,73%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82D8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1,98%</w:t>
            </w:r>
          </w:p>
        </w:tc>
      </w:tr>
      <w:tr w:rsidR="005768B6" w:rsidRPr="005768B6" w14:paraId="6BC35BC4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18A3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 xml:space="preserve"> 0520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F025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Gospodarenje otpadnim vodama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877E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D49F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CE87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C0C6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3A75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768B6" w:rsidRPr="005768B6" w14:paraId="1CBC58CF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5010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3D5E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Poslovi i usluge zaštite okoliša koji nisu drugdje svrstani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2AE5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220.000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74D4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9034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130.000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F4A8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59,09%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9BBD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0,07%</w:t>
            </w:r>
          </w:p>
        </w:tc>
      </w:tr>
      <w:tr w:rsidR="005768B6" w:rsidRPr="005768B6" w14:paraId="61B1DB30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CB0E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 xml:space="preserve"> 0600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80FF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9738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708.000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29D2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151C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708.000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B961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686C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0,37%</w:t>
            </w:r>
          </w:p>
        </w:tc>
      </w:tr>
      <w:tr w:rsidR="005768B6" w:rsidRPr="005768B6" w14:paraId="3CDF8678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A61D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0630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9308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Opskrba vodom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7459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5.967.000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3706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-667.000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BFF8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5.300.000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37F4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88,82%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6195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2,78%</w:t>
            </w:r>
          </w:p>
        </w:tc>
      </w:tr>
      <w:tr w:rsidR="005768B6" w:rsidRPr="005768B6" w14:paraId="5E33BA32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6E4D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 xml:space="preserve"> 0640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6F77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Ulična rasvjeta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0CDD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850.000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2B96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-320.000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0743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530.000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7326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62,35%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6288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0,28%</w:t>
            </w:r>
          </w:p>
        </w:tc>
      </w:tr>
      <w:tr w:rsidR="005768B6" w:rsidRPr="005768B6" w14:paraId="479B935B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F240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2BCF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84A2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50.587.000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1764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-5.800.750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1750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44.786.250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5CE9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88,53%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326E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23,48%</w:t>
            </w:r>
          </w:p>
        </w:tc>
      </w:tr>
      <w:tr w:rsidR="005768B6" w:rsidRPr="005768B6" w14:paraId="445FA1C5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EB64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0700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334C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Zdravstvo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A788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B360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0860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FB94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44A7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0,03%</w:t>
            </w:r>
          </w:p>
        </w:tc>
      </w:tr>
      <w:tr w:rsidR="005768B6" w:rsidRPr="005768B6" w14:paraId="3928264A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DA03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 xml:space="preserve"> 0740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5798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Službe javnog zdravstva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2608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C324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2BCB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550.000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045A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E954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0,29%</w:t>
            </w:r>
          </w:p>
        </w:tc>
      </w:tr>
      <w:tr w:rsidR="005768B6" w:rsidRPr="005768B6" w14:paraId="7793264A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B894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0810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DB7B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Službe rekreacije i sporta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F617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1.865.703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CC97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188.297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76A0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2.054.000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B3B0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110,09%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3F6E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1,08%</w:t>
            </w:r>
          </w:p>
        </w:tc>
      </w:tr>
      <w:tr w:rsidR="005768B6" w:rsidRPr="005768B6" w14:paraId="6892CDA4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E216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53E9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FD64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6.270.050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C6CF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200.150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D92C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6.470.200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755B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103,19%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EE04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3,39%</w:t>
            </w:r>
          </w:p>
        </w:tc>
      </w:tr>
      <w:tr w:rsidR="005768B6" w:rsidRPr="005768B6" w14:paraId="40136090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03A3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0840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761A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Religijske i druge službe zajednice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C73F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485.000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82D8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-435.000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72D5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3177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10,31%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8523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0,03%</w:t>
            </w:r>
          </w:p>
        </w:tc>
      </w:tr>
      <w:tr w:rsidR="005768B6" w:rsidRPr="005768B6" w14:paraId="70AF12C5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4DC7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A07C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Rashodi za rekreaciju, kulturu i religiju koji nisu drugdje svrstani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A30A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11.450.000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A958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-1.910.000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98B1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9.540.000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A4BB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83,32%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5905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5,00%</w:t>
            </w:r>
          </w:p>
        </w:tc>
      </w:tr>
      <w:tr w:rsidR="005768B6" w:rsidRPr="005768B6" w14:paraId="0F91689C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01FC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 xml:space="preserve"> 0911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E21B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Predškolsko obrazovanje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238A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31.191.800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372E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3.093.200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B594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34.285.000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CEC0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109,92%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95F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17,97%</w:t>
            </w:r>
          </w:p>
        </w:tc>
      </w:tr>
      <w:tr w:rsidR="005768B6" w:rsidRPr="005768B6" w14:paraId="0933542D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EF54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 xml:space="preserve"> 0913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4E5E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Sufinanciranje cijene prijevoza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58B7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3.000.000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6C53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-3.000.000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9220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DE11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298A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768B6" w:rsidRPr="005768B6" w14:paraId="24C845F1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E8F0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0980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0792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Usluge obrazovanja koje nisu drugdje svrstane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3158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2.040.000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FDD9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317E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2.220.000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8970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108,82%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5F49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1,16%</w:t>
            </w:r>
          </w:p>
        </w:tc>
      </w:tr>
      <w:tr w:rsidR="005768B6" w:rsidRPr="005768B6" w14:paraId="34FBE48A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00E6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42EE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9A52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8.086.000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315A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-47.000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234F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8.039.000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70D4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99,42%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5AD9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4,21%</w:t>
            </w:r>
          </w:p>
        </w:tc>
      </w:tr>
      <w:tr w:rsidR="005768B6" w:rsidRPr="005768B6" w14:paraId="3F2585FB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5454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FE53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Aktivnosti socijalne zaštite koje nisu drugdje svrstane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6789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1.710.000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9AC9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C458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1.860.000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6512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108,77%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C2E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color w:val="000000"/>
                <w:sz w:val="18"/>
                <w:szCs w:val="18"/>
                <w:lang w:eastAsia="hr-HR"/>
              </w:rPr>
              <w:t>0,98%</w:t>
            </w:r>
          </w:p>
        </w:tc>
      </w:tr>
      <w:tr w:rsidR="005768B6" w:rsidRPr="005768B6" w14:paraId="4B5D4501" w14:textId="77777777" w:rsidTr="005768B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91BCC9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04333F" w14:textId="77777777" w:rsidR="005768B6" w:rsidRPr="005768B6" w:rsidRDefault="005768B6" w:rsidP="005768B6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2EFBFC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b/>
                <w:bCs/>
                <w:sz w:val="18"/>
                <w:szCs w:val="18"/>
                <w:lang w:eastAsia="hr-HR"/>
              </w:rPr>
              <w:t>231.218.015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85D562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b/>
                <w:bCs/>
                <w:sz w:val="18"/>
                <w:szCs w:val="18"/>
                <w:lang w:eastAsia="hr-HR"/>
              </w:rPr>
              <w:t>-40.471.365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57B432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b/>
                <w:bCs/>
                <w:sz w:val="18"/>
                <w:szCs w:val="18"/>
                <w:lang w:eastAsia="hr-HR"/>
              </w:rPr>
              <w:t>190.746.650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A8A05B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b/>
                <w:bCs/>
                <w:sz w:val="18"/>
                <w:szCs w:val="18"/>
                <w:lang w:eastAsia="hr-HR"/>
              </w:rPr>
              <w:t>82,50%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81C93C3" w14:textId="77777777" w:rsidR="005768B6" w:rsidRPr="005768B6" w:rsidRDefault="005768B6" w:rsidP="005768B6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5768B6">
              <w:rPr>
                <w:rFonts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3EC6FD33" w14:textId="77777777" w:rsidR="005768B6" w:rsidRPr="005768B6" w:rsidRDefault="005768B6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18"/>
          <w:szCs w:val="18"/>
        </w:rPr>
      </w:pPr>
    </w:p>
    <w:p w14:paraId="2F27073F" w14:textId="2F0355B2" w:rsidR="00440AF5" w:rsidRDefault="00440AF5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18"/>
          <w:szCs w:val="18"/>
        </w:rPr>
      </w:pPr>
      <w:r w:rsidRPr="00C63F96">
        <w:rPr>
          <w:rFonts w:asciiTheme="minorHAnsi" w:eastAsiaTheme="minorHAnsi" w:hAnsiTheme="minorHAnsi"/>
          <w:color w:val="000000"/>
          <w:sz w:val="18"/>
          <w:szCs w:val="18"/>
        </w:rPr>
        <w:t>Prikaz funkcijske klasifikacije na razini podgrupe:</w:t>
      </w:r>
    </w:p>
    <w:p w14:paraId="2DFB6B40" w14:textId="214E4B12" w:rsidR="00E6742D" w:rsidRDefault="00E6742D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18"/>
          <w:szCs w:val="18"/>
        </w:rPr>
      </w:pPr>
    </w:p>
    <w:tbl>
      <w:tblPr>
        <w:tblW w:w="9532" w:type="dxa"/>
        <w:tblLook w:val="04A0" w:firstRow="1" w:lastRow="0" w:firstColumn="1" w:lastColumn="0" w:noHBand="0" w:noVBand="1"/>
      </w:tblPr>
      <w:tblGrid>
        <w:gridCol w:w="1269"/>
        <w:gridCol w:w="3438"/>
        <w:gridCol w:w="1032"/>
        <w:gridCol w:w="1092"/>
        <w:gridCol w:w="1032"/>
        <w:gridCol w:w="823"/>
        <w:gridCol w:w="846"/>
      </w:tblGrid>
      <w:tr w:rsidR="00E6742D" w:rsidRPr="00E6742D" w14:paraId="03246F6F" w14:textId="77777777" w:rsidTr="00E6742D">
        <w:trPr>
          <w:trHeight w:val="30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76D9902" w14:textId="77777777" w:rsidR="00E6742D" w:rsidRPr="00E6742D" w:rsidRDefault="00E6742D" w:rsidP="00E6742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b/>
                <w:bCs/>
                <w:sz w:val="16"/>
                <w:szCs w:val="16"/>
                <w:lang w:eastAsia="hr-HR"/>
              </w:rPr>
              <w:t>Funkc. Klas.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93BE7D" w14:textId="77777777" w:rsidR="00E6742D" w:rsidRPr="00E6742D" w:rsidRDefault="00E6742D" w:rsidP="00E6742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b/>
                <w:bCs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8FF964F" w14:textId="77777777" w:rsidR="00E6742D" w:rsidRPr="00E6742D" w:rsidRDefault="00E6742D" w:rsidP="00E6742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b/>
                <w:bCs/>
                <w:sz w:val="16"/>
                <w:szCs w:val="16"/>
                <w:lang w:eastAsia="hr-HR"/>
              </w:rPr>
              <w:t>Plan 2021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360075" w14:textId="77777777" w:rsidR="00E6742D" w:rsidRPr="00E6742D" w:rsidRDefault="00E6742D" w:rsidP="00E6742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b/>
                <w:bCs/>
                <w:sz w:val="16"/>
                <w:szCs w:val="16"/>
                <w:lang w:eastAsia="hr-HR"/>
              </w:rPr>
              <w:t>Razlika 2022-2021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BC6557" w14:textId="77777777" w:rsidR="00E6742D" w:rsidRPr="00E6742D" w:rsidRDefault="00E6742D" w:rsidP="00E6742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b/>
                <w:bCs/>
                <w:sz w:val="16"/>
                <w:szCs w:val="16"/>
                <w:lang w:eastAsia="hr-HR"/>
              </w:rPr>
              <w:t>Plan 2022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889678" w14:textId="77777777" w:rsidR="00E6742D" w:rsidRPr="00E6742D" w:rsidRDefault="00E6742D" w:rsidP="00E6742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014799" w14:textId="77777777" w:rsidR="00E6742D" w:rsidRPr="00E6742D" w:rsidRDefault="00E6742D" w:rsidP="00E6742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b/>
                <w:bCs/>
                <w:sz w:val="16"/>
                <w:szCs w:val="16"/>
                <w:lang w:eastAsia="hr-HR"/>
              </w:rPr>
              <w:t>Udjel 2022.</w:t>
            </w:r>
          </w:p>
        </w:tc>
      </w:tr>
      <w:tr w:rsidR="00E6742D" w:rsidRPr="00E6742D" w14:paraId="7CD9D6D1" w14:textId="77777777" w:rsidTr="00E6742D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A74E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Funk. klas: 01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14BB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OPĆE JAVNE USLUGE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4006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63.218.060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E3D8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-26.079.860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C21D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37.138.200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BB0F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58,75%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1732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19,47%</w:t>
            </w:r>
          </w:p>
        </w:tc>
      </w:tr>
      <w:tr w:rsidR="00E6742D" w:rsidRPr="00E6742D" w14:paraId="1C7F6426" w14:textId="77777777" w:rsidTr="00E6742D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014B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Funk. klas: 03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6D58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JAVNI RED I SIGURNOST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8D4F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7.645.000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B5FC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-2.590.000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7DC7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5.055.000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379A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66,12%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CF9B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2,65%</w:t>
            </w:r>
          </w:p>
        </w:tc>
      </w:tr>
      <w:tr w:rsidR="00E6742D" w:rsidRPr="00E6742D" w14:paraId="68C3F715" w14:textId="77777777" w:rsidTr="00E6742D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BC6D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Funk. klas: 04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8B66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EKONOMSKI POSLOVI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8DD0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32.214.402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4286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-4.008.402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DFFA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28.206.000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56BC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87,56%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26C4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14,79%</w:t>
            </w:r>
          </w:p>
        </w:tc>
      </w:tr>
      <w:tr w:rsidR="00E6742D" w:rsidRPr="00E6742D" w14:paraId="2812B14C" w14:textId="77777777" w:rsidTr="00E6742D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BE37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Funk. klas: 05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18CE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ZAŠTITA OKOLIŠA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3BA1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3.330.000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4A14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575.000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E31E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3.905.000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C77F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117,27%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258F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2,05%</w:t>
            </w:r>
          </w:p>
        </w:tc>
      </w:tr>
      <w:tr w:rsidR="00E6742D" w:rsidRPr="00E6742D" w14:paraId="6611EA96" w14:textId="77777777" w:rsidTr="00E6742D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7BFC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Funk. klas: 06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6868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USLUGE UNAPREĐENJA STANOVANJA I ZAJEDNICE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5358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58.112.000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3095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-6.787.750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A742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51.324.250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74BB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88,32%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F709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26,91%</w:t>
            </w:r>
          </w:p>
        </w:tc>
      </w:tr>
      <w:tr w:rsidR="00E6742D" w:rsidRPr="00E6742D" w14:paraId="72E6F388" w14:textId="77777777" w:rsidTr="00E6742D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5FEC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Funk. klas: 07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BC00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ZDRAVSTVO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089E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6D36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AC53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C1B9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9A52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0,31%</w:t>
            </w:r>
          </w:p>
        </w:tc>
      </w:tr>
      <w:tr w:rsidR="00E6742D" w:rsidRPr="00E6742D" w14:paraId="6AD2378E" w14:textId="77777777" w:rsidTr="00E6742D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AE01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Funk. klas: 08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311B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REKREACIJA, KULTURA, RELIGIJA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C35C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20.070.753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5F4A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-1.956.553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5C91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18.114.200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19D7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90,25%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2DEA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9,50%</w:t>
            </w:r>
          </w:p>
        </w:tc>
      </w:tr>
      <w:tr w:rsidR="00E6742D" w:rsidRPr="00E6742D" w14:paraId="3D9DD15D" w14:textId="77777777" w:rsidTr="00E6742D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42B7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Funk. klas: 09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3156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7554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36.231.800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DD20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273.200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E4A7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36.505.000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8DD8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100,75%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73A2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19,14%</w:t>
            </w:r>
          </w:p>
        </w:tc>
      </w:tr>
      <w:tr w:rsidR="00E6742D" w:rsidRPr="00E6742D" w14:paraId="093C69FF" w14:textId="77777777" w:rsidTr="00E6742D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A982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Funk. klas: 10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E06E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SOCIJALNA ZAŠTITA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ADA2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9.796.000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F93E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103.000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8DC1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9.899.000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CA81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101,05%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82D7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color w:val="000000"/>
                <w:sz w:val="16"/>
                <w:szCs w:val="16"/>
                <w:lang w:eastAsia="hr-HR"/>
              </w:rPr>
              <w:t>5,19%</w:t>
            </w:r>
          </w:p>
        </w:tc>
      </w:tr>
      <w:tr w:rsidR="00E6742D" w:rsidRPr="00E6742D" w14:paraId="7AC39C40" w14:textId="77777777" w:rsidTr="00E6742D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BB00B9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17B60A" w14:textId="77777777" w:rsidR="00E6742D" w:rsidRPr="00E6742D" w:rsidRDefault="00E6742D" w:rsidP="00E6742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b/>
                <w:bCs/>
                <w:sz w:val="16"/>
                <w:szCs w:val="16"/>
                <w:lang w:eastAsia="hr-HR"/>
              </w:rPr>
              <w:t>SUMA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AF68C9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b/>
                <w:bCs/>
                <w:sz w:val="16"/>
                <w:szCs w:val="16"/>
                <w:lang w:eastAsia="hr-HR"/>
              </w:rPr>
              <w:t>231.218.015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53C7F9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b/>
                <w:bCs/>
                <w:sz w:val="16"/>
                <w:szCs w:val="16"/>
                <w:lang w:eastAsia="hr-HR"/>
              </w:rPr>
              <w:t>-40.471.365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2B9D50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b/>
                <w:bCs/>
                <w:sz w:val="16"/>
                <w:szCs w:val="16"/>
                <w:lang w:eastAsia="hr-HR"/>
              </w:rPr>
              <w:t>190.746.650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3EB14C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b/>
                <w:bCs/>
                <w:sz w:val="16"/>
                <w:szCs w:val="16"/>
                <w:lang w:eastAsia="hr-HR"/>
              </w:rPr>
              <w:t>82,50%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248309" w14:textId="77777777" w:rsidR="00E6742D" w:rsidRPr="00E6742D" w:rsidRDefault="00E6742D" w:rsidP="00E6742D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E6742D">
              <w:rPr>
                <w:rFonts w:cs="Calibri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</w:tbl>
    <w:p w14:paraId="53A2BCB1" w14:textId="77777777" w:rsidR="00E6742D" w:rsidRPr="00E6742D" w:rsidRDefault="00E6742D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16"/>
          <w:szCs w:val="16"/>
        </w:rPr>
      </w:pPr>
    </w:p>
    <w:p w14:paraId="3DBB5CFD" w14:textId="208E6D5A" w:rsidR="00C63F96" w:rsidRDefault="00E6742D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1305DFF4" wp14:editId="27C1A728">
            <wp:extent cx="5939790" cy="2695575"/>
            <wp:effectExtent l="19050" t="19050" r="22860" b="9525"/>
            <wp:docPr id="15" name="Grafikon 15">
              <a:extLst xmlns:a="http://schemas.openxmlformats.org/drawingml/2006/main">
                <a:ext uri="{FF2B5EF4-FFF2-40B4-BE49-F238E27FC236}">
                  <a16:creationId xmlns:a16="http://schemas.microsoft.com/office/drawing/2014/main" id="{42F9DC12-1595-4DAF-BE63-CC789F3E0E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07196A7" w14:textId="056064EE" w:rsidR="005563FB" w:rsidRPr="00E967AA" w:rsidRDefault="005563FB" w:rsidP="00E967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18"/>
          <w:szCs w:val="18"/>
        </w:rPr>
      </w:pPr>
      <w:r w:rsidRPr="00E967AA">
        <w:rPr>
          <w:rFonts w:asciiTheme="minorHAnsi" w:eastAsiaTheme="minorHAnsi" w:hAnsiTheme="minorHAnsi"/>
          <w:bCs/>
          <w:color w:val="000000"/>
          <w:sz w:val="18"/>
          <w:szCs w:val="18"/>
        </w:rPr>
        <w:t>Grafički prikaz funkcijske klasifikacije rashoda i izdataka za 202</w:t>
      </w:r>
      <w:r w:rsidR="00E6742D">
        <w:rPr>
          <w:rFonts w:asciiTheme="minorHAnsi" w:eastAsiaTheme="minorHAnsi" w:hAnsiTheme="minorHAnsi"/>
          <w:bCs/>
          <w:color w:val="000000"/>
          <w:sz w:val="18"/>
          <w:szCs w:val="18"/>
        </w:rPr>
        <w:t>2</w:t>
      </w:r>
      <w:r w:rsidRPr="00E967AA">
        <w:rPr>
          <w:rFonts w:asciiTheme="minorHAnsi" w:eastAsiaTheme="minorHAnsi" w:hAnsiTheme="minorHAnsi"/>
          <w:bCs/>
          <w:color w:val="000000"/>
          <w:sz w:val="18"/>
          <w:szCs w:val="18"/>
        </w:rPr>
        <w:t>.godinu</w:t>
      </w:r>
    </w:p>
    <w:p w14:paraId="10AD5AFD" w14:textId="62A4D9BC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bCs/>
          <w:color w:val="000000"/>
          <w:sz w:val="24"/>
          <w:szCs w:val="24"/>
        </w:rPr>
      </w:pPr>
      <w:r w:rsidRPr="005563FB">
        <w:rPr>
          <w:rFonts w:asciiTheme="minorHAnsi" w:eastAsiaTheme="minorHAnsi" w:hAnsiTheme="minorHAnsi"/>
          <w:bCs/>
          <w:color w:val="000000"/>
          <w:sz w:val="24"/>
          <w:szCs w:val="24"/>
        </w:rPr>
        <w:t>Iz navedenog proizlazi da se najviše planira uložiti u usluge unapređenja stanovanja i zajednice (izgradnja i održavanje komunalne infrastrukture, opskrbu vodom, nerazvrstane ceste, groblja, javne površine, javnu rasvjetu, ...) 2</w:t>
      </w:r>
      <w:r w:rsidR="00C63F96">
        <w:rPr>
          <w:rFonts w:asciiTheme="minorHAnsi" w:eastAsiaTheme="minorHAnsi" w:hAnsiTheme="minorHAnsi"/>
          <w:bCs/>
          <w:color w:val="000000"/>
          <w:sz w:val="24"/>
          <w:szCs w:val="24"/>
        </w:rPr>
        <w:t>6</w:t>
      </w:r>
      <w:r w:rsidRPr="005563FB">
        <w:rPr>
          <w:rFonts w:asciiTheme="minorHAnsi" w:eastAsiaTheme="minorHAnsi" w:hAnsiTheme="minorHAnsi"/>
          <w:bCs/>
          <w:color w:val="000000"/>
          <w:sz w:val="24"/>
          <w:szCs w:val="24"/>
        </w:rPr>
        <w:t>,</w:t>
      </w:r>
      <w:r w:rsidR="007352B8">
        <w:rPr>
          <w:rFonts w:asciiTheme="minorHAnsi" w:eastAsiaTheme="minorHAnsi" w:hAnsiTheme="minorHAnsi"/>
          <w:bCs/>
          <w:color w:val="000000"/>
          <w:sz w:val="24"/>
          <w:szCs w:val="24"/>
        </w:rPr>
        <w:t>91</w:t>
      </w:r>
      <w:r w:rsidRPr="005563FB">
        <w:rPr>
          <w:rFonts w:asciiTheme="minorHAnsi" w:eastAsiaTheme="minorHAnsi" w:hAnsiTheme="minorHAnsi"/>
          <w:bCs/>
          <w:color w:val="000000"/>
          <w:sz w:val="24"/>
          <w:szCs w:val="24"/>
        </w:rPr>
        <w:t xml:space="preserve"> %, </w:t>
      </w:r>
      <w:r w:rsidR="00C63F96">
        <w:rPr>
          <w:rFonts w:asciiTheme="minorHAnsi" w:eastAsiaTheme="minorHAnsi" w:hAnsiTheme="minorHAnsi"/>
          <w:bCs/>
          <w:color w:val="000000"/>
          <w:sz w:val="24"/>
          <w:szCs w:val="24"/>
        </w:rPr>
        <w:t>i</w:t>
      </w:r>
      <w:r w:rsidRPr="005563FB">
        <w:rPr>
          <w:rFonts w:asciiTheme="minorHAnsi" w:eastAsiaTheme="minorHAnsi" w:hAnsiTheme="minorHAnsi"/>
          <w:bCs/>
          <w:color w:val="000000"/>
          <w:sz w:val="24"/>
          <w:szCs w:val="24"/>
        </w:rPr>
        <w:t xml:space="preserve"> u opće javne usluge  </w:t>
      </w:r>
      <w:r w:rsidR="007352B8">
        <w:rPr>
          <w:rFonts w:asciiTheme="minorHAnsi" w:eastAsiaTheme="minorHAnsi" w:hAnsiTheme="minorHAnsi"/>
          <w:bCs/>
          <w:color w:val="000000"/>
          <w:sz w:val="24"/>
          <w:szCs w:val="24"/>
        </w:rPr>
        <w:t>19</w:t>
      </w:r>
      <w:r w:rsidRPr="005563FB">
        <w:rPr>
          <w:rFonts w:asciiTheme="minorHAnsi" w:eastAsiaTheme="minorHAnsi" w:hAnsiTheme="minorHAnsi"/>
          <w:bCs/>
          <w:color w:val="000000"/>
          <w:sz w:val="24"/>
          <w:szCs w:val="24"/>
        </w:rPr>
        <w:t>,</w:t>
      </w:r>
      <w:r w:rsidR="007352B8">
        <w:rPr>
          <w:rFonts w:asciiTheme="minorHAnsi" w:eastAsiaTheme="minorHAnsi" w:hAnsiTheme="minorHAnsi"/>
          <w:bCs/>
          <w:color w:val="000000"/>
          <w:sz w:val="24"/>
          <w:szCs w:val="24"/>
        </w:rPr>
        <w:t>47</w:t>
      </w:r>
      <w:r w:rsidRPr="005563FB">
        <w:rPr>
          <w:rFonts w:asciiTheme="minorHAnsi" w:eastAsiaTheme="minorHAnsi" w:hAnsiTheme="minorHAnsi"/>
          <w:bCs/>
          <w:color w:val="000000"/>
          <w:sz w:val="24"/>
          <w:szCs w:val="24"/>
        </w:rPr>
        <w:t xml:space="preserve"> % te</w:t>
      </w:r>
      <w:r w:rsidRPr="005563FB">
        <w:rPr>
          <w:rFonts w:asciiTheme="minorHAnsi" w:eastAsiaTheme="minorHAnsi" w:hAnsiTheme="minorHAnsi" w:cstheme="minorBidi"/>
        </w:rPr>
        <w:t xml:space="preserve"> </w:t>
      </w:r>
      <w:r w:rsidRPr="005563FB">
        <w:rPr>
          <w:rFonts w:asciiTheme="minorHAnsi" w:eastAsiaTheme="minorHAnsi" w:hAnsiTheme="minorHAnsi"/>
          <w:bCs/>
          <w:color w:val="000000"/>
          <w:sz w:val="24"/>
          <w:szCs w:val="24"/>
        </w:rPr>
        <w:t>u obrazovanje  1</w:t>
      </w:r>
      <w:r w:rsidR="00C63F96">
        <w:rPr>
          <w:rFonts w:asciiTheme="minorHAnsi" w:eastAsiaTheme="minorHAnsi" w:hAnsiTheme="minorHAnsi"/>
          <w:bCs/>
          <w:color w:val="000000"/>
          <w:sz w:val="24"/>
          <w:szCs w:val="24"/>
        </w:rPr>
        <w:t>5</w:t>
      </w:r>
      <w:r w:rsidRPr="005563FB">
        <w:rPr>
          <w:rFonts w:asciiTheme="minorHAnsi" w:eastAsiaTheme="minorHAnsi" w:hAnsiTheme="minorHAnsi"/>
          <w:bCs/>
          <w:color w:val="000000"/>
          <w:sz w:val="24"/>
          <w:szCs w:val="24"/>
        </w:rPr>
        <w:t>,</w:t>
      </w:r>
      <w:r w:rsidR="00C63F96">
        <w:rPr>
          <w:rFonts w:asciiTheme="minorHAnsi" w:eastAsiaTheme="minorHAnsi" w:hAnsiTheme="minorHAnsi"/>
          <w:bCs/>
          <w:color w:val="000000"/>
          <w:sz w:val="24"/>
          <w:szCs w:val="24"/>
        </w:rPr>
        <w:t>39</w:t>
      </w:r>
      <w:r w:rsidRPr="005563FB">
        <w:rPr>
          <w:rFonts w:asciiTheme="minorHAnsi" w:eastAsiaTheme="minorHAnsi" w:hAnsiTheme="minorHAnsi"/>
          <w:bCs/>
          <w:color w:val="000000"/>
          <w:sz w:val="24"/>
          <w:szCs w:val="24"/>
        </w:rPr>
        <w:t xml:space="preserve"> % (obrazovanje-1</w:t>
      </w:r>
      <w:r w:rsidR="007352B8">
        <w:rPr>
          <w:rFonts w:asciiTheme="minorHAnsi" w:eastAsiaTheme="minorHAnsi" w:hAnsiTheme="minorHAnsi"/>
          <w:bCs/>
          <w:color w:val="000000"/>
          <w:sz w:val="24"/>
          <w:szCs w:val="24"/>
        </w:rPr>
        <w:t>9</w:t>
      </w:r>
      <w:r w:rsidRPr="005563FB">
        <w:rPr>
          <w:rFonts w:asciiTheme="minorHAnsi" w:eastAsiaTheme="minorHAnsi" w:hAnsiTheme="minorHAnsi"/>
          <w:bCs/>
          <w:color w:val="000000"/>
          <w:sz w:val="24"/>
          <w:szCs w:val="24"/>
        </w:rPr>
        <w:t>,</w:t>
      </w:r>
      <w:r w:rsidR="007352B8">
        <w:rPr>
          <w:rFonts w:asciiTheme="minorHAnsi" w:eastAsiaTheme="minorHAnsi" w:hAnsiTheme="minorHAnsi"/>
          <w:bCs/>
          <w:color w:val="000000"/>
          <w:sz w:val="24"/>
          <w:szCs w:val="24"/>
        </w:rPr>
        <w:t>14</w:t>
      </w:r>
      <w:r w:rsidRPr="005563FB">
        <w:rPr>
          <w:rFonts w:asciiTheme="minorHAnsi" w:eastAsiaTheme="minorHAnsi" w:hAnsiTheme="minorHAnsi"/>
          <w:bCs/>
          <w:color w:val="000000"/>
          <w:sz w:val="24"/>
          <w:szCs w:val="24"/>
        </w:rPr>
        <w:t xml:space="preserve"> %, sufinanciranje prijevoza đaka i studenata, stipendije đacima i studentima...).</w:t>
      </w:r>
    </w:p>
    <w:p w14:paraId="658858FA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bCs/>
          <w:color w:val="000000"/>
          <w:sz w:val="24"/>
          <w:szCs w:val="24"/>
        </w:rPr>
      </w:pPr>
    </w:p>
    <w:p w14:paraId="3ACA4A15" w14:textId="77777777" w:rsidR="005563FB" w:rsidRPr="005563FB" w:rsidRDefault="005563FB" w:rsidP="0069710B">
      <w:pPr>
        <w:pStyle w:val="Naslov3"/>
        <w:numPr>
          <w:ilvl w:val="2"/>
          <w:numId w:val="4"/>
        </w:numPr>
        <w:ind w:right="2124"/>
      </w:pPr>
      <w:bookmarkStart w:id="14" w:name="_Toc88555243"/>
      <w:r w:rsidRPr="005563FB">
        <w:t>RASHODI PO ORGANIZACIJSKOJ KLASIFIKACIJI</w:t>
      </w:r>
      <w:bookmarkEnd w:id="14"/>
    </w:p>
    <w:p w14:paraId="089D3A7E" w14:textId="15EE98CA" w:rsid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 w:rsidRPr="005563FB">
        <w:rPr>
          <w:rFonts w:asciiTheme="minorHAnsi" w:eastAsiaTheme="minorHAnsi" w:hAnsiTheme="minorHAnsi"/>
          <w:color w:val="000000"/>
          <w:sz w:val="23"/>
          <w:szCs w:val="23"/>
        </w:rPr>
        <w:t xml:space="preserve">Organizacijska struktura prikazuje raspored sredstava planiranih u Proračunu po upravnim tijelima. </w:t>
      </w:r>
    </w:p>
    <w:p w14:paraId="33A1BBD7" w14:textId="3F4DC1F0" w:rsidR="006637D9" w:rsidRDefault="006637D9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Na 3.sjednici održanoj 20.listopada 2021.godine Gradsko vijeće Grada Kaštela je donijelo Odluku o ustrojstvu i djelokrugu upravnih tijela Grada Kaštela kojom se ukidaju:</w:t>
      </w:r>
    </w:p>
    <w:p w14:paraId="2515E2F0" w14:textId="53AFE75B" w:rsidR="006637D9" w:rsidRDefault="006637D9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</w:p>
    <w:p w14:paraId="02629875" w14:textId="77777777" w:rsidR="006637D9" w:rsidRPr="006637D9" w:rsidRDefault="006637D9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 w:rsidRPr="006637D9">
        <w:rPr>
          <w:rFonts w:asciiTheme="minorHAnsi" w:eastAsiaTheme="minorHAnsi" w:hAnsiTheme="minorHAnsi"/>
        </w:rPr>
        <w:t>1. Upravni odjel za poslove Gradonačelnika i Gradskog vijeća</w:t>
      </w:r>
    </w:p>
    <w:p w14:paraId="1B7F751B" w14:textId="77777777" w:rsidR="006637D9" w:rsidRPr="006637D9" w:rsidRDefault="006637D9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 w:rsidRPr="006637D9">
        <w:rPr>
          <w:rFonts w:asciiTheme="minorHAnsi" w:eastAsiaTheme="minorHAnsi" w:hAnsiTheme="minorHAnsi"/>
        </w:rPr>
        <w:t>2. Upravni odjel za financije, proračun i javnu nabavu</w:t>
      </w:r>
    </w:p>
    <w:p w14:paraId="03BC53EC" w14:textId="77777777" w:rsidR="006637D9" w:rsidRPr="006637D9" w:rsidRDefault="006637D9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 w:rsidRPr="006637D9">
        <w:rPr>
          <w:rFonts w:asciiTheme="minorHAnsi" w:eastAsiaTheme="minorHAnsi" w:hAnsiTheme="minorHAnsi"/>
        </w:rPr>
        <w:t>3. Upravni odjel za komunalno gospodarstvo, imovinsko-pravne poslove i zaštitu okoliša</w:t>
      </w:r>
    </w:p>
    <w:p w14:paraId="6AEC374F" w14:textId="77777777" w:rsidR="006637D9" w:rsidRPr="006637D9" w:rsidRDefault="006637D9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 w:rsidRPr="006637D9">
        <w:rPr>
          <w:rFonts w:asciiTheme="minorHAnsi" w:eastAsiaTheme="minorHAnsi" w:hAnsiTheme="minorHAnsi"/>
        </w:rPr>
        <w:t>4. Upravni odjel za prostorno uređenje i gradnju</w:t>
      </w:r>
    </w:p>
    <w:p w14:paraId="0312C2D8" w14:textId="77777777" w:rsidR="006637D9" w:rsidRPr="006637D9" w:rsidRDefault="006637D9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 w:rsidRPr="006637D9">
        <w:rPr>
          <w:rFonts w:asciiTheme="minorHAnsi" w:eastAsiaTheme="minorHAnsi" w:hAnsiTheme="minorHAnsi"/>
        </w:rPr>
        <w:t>5. Upravni odjel za društvene djelatnosti i opće poslove</w:t>
      </w:r>
    </w:p>
    <w:p w14:paraId="1E4B638E" w14:textId="2DA881F7" w:rsidR="006637D9" w:rsidRDefault="006637D9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 w:rsidRPr="006637D9">
        <w:rPr>
          <w:rFonts w:asciiTheme="minorHAnsi" w:eastAsiaTheme="minorHAnsi" w:hAnsiTheme="minorHAnsi"/>
        </w:rPr>
        <w:t>6. Služba za unutarnju reviziju uspostavljena kao neovisna jedinica</w:t>
      </w:r>
    </w:p>
    <w:p w14:paraId="348EBF23" w14:textId="63476ED0" w:rsidR="006637D9" w:rsidRDefault="006637D9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</w:p>
    <w:p w14:paraId="46731E3E" w14:textId="35D85A58" w:rsidR="006637D9" w:rsidRDefault="0084660D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a</w:t>
      </w:r>
      <w:r w:rsidR="006637D9">
        <w:rPr>
          <w:rFonts w:asciiTheme="minorHAnsi" w:eastAsiaTheme="minorHAnsi" w:hAnsiTheme="minorHAnsi"/>
        </w:rPr>
        <w:t xml:space="preserve"> s radom započinju novoustrojena upravna tijela:</w:t>
      </w:r>
    </w:p>
    <w:p w14:paraId="5C887328" w14:textId="79B6BF49" w:rsidR="006637D9" w:rsidRDefault="006637D9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</w:p>
    <w:p w14:paraId="1C11FFEA" w14:textId="77777777" w:rsidR="006637D9" w:rsidRPr="006637D9" w:rsidRDefault="006637D9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 w:rsidRPr="006637D9">
        <w:rPr>
          <w:rFonts w:asciiTheme="minorHAnsi" w:eastAsiaTheme="minorHAnsi" w:hAnsiTheme="minorHAnsi"/>
        </w:rPr>
        <w:t>1. Upravni odjel za poslove Gradonačelnika i stručne poslove</w:t>
      </w:r>
    </w:p>
    <w:p w14:paraId="79937CC3" w14:textId="77777777" w:rsidR="006637D9" w:rsidRPr="006637D9" w:rsidRDefault="006637D9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 w:rsidRPr="006637D9">
        <w:rPr>
          <w:rFonts w:asciiTheme="minorHAnsi" w:eastAsiaTheme="minorHAnsi" w:hAnsiTheme="minorHAnsi"/>
        </w:rPr>
        <w:t xml:space="preserve">2. </w:t>
      </w:r>
      <w:bookmarkStart w:id="15" w:name="_Hlk89414366"/>
      <w:r w:rsidRPr="006637D9">
        <w:rPr>
          <w:rFonts w:asciiTheme="minorHAnsi" w:eastAsiaTheme="minorHAnsi" w:hAnsiTheme="minorHAnsi"/>
        </w:rPr>
        <w:t>Upravni odjel za društvene djelatnosti i zajedničke poslove</w:t>
      </w:r>
    </w:p>
    <w:bookmarkEnd w:id="15"/>
    <w:p w14:paraId="2A262CFE" w14:textId="77777777" w:rsidR="006637D9" w:rsidRPr="006637D9" w:rsidRDefault="006637D9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 w:rsidRPr="006637D9">
        <w:rPr>
          <w:rFonts w:asciiTheme="minorHAnsi" w:eastAsiaTheme="minorHAnsi" w:hAnsiTheme="minorHAnsi"/>
        </w:rPr>
        <w:t xml:space="preserve">3. </w:t>
      </w:r>
      <w:bookmarkStart w:id="16" w:name="_Hlk89413393"/>
      <w:r w:rsidRPr="006637D9">
        <w:rPr>
          <w:rFonts w:asciiTheme="minorHAnsi" w:eastAsiaTheme="minorHAnsi" w:hAnsiTheme="minorHAnsi"/>
        </w:rPr>
        <w:t>Upravni odjel za komunalno gospodarstvo i imovinu</w:t>
      </w:r>
      <w:bookmarkEnd w:id="16"/>
    </w:p>
    <w:p w14:paraId="1598D256" w14:textId="77777777" w:rsidR="006637D9" w:rsidRPr="006637D9" w:rsidRDefault="006637D9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 w:rsidRPr="006637D9">
        <w:rPr>
          <w:rFonts w:asciiTheme="minorHAnsi" w:eastAsiaTheme="minorHAnsi" w:hAnsiTheme="minorHAnsi"/>
        </w:rPr>
        <w:t>4. Upravni odjel za financije, javnu nabavu i naplatu prihoda</w:t>
      </w:r>
    </w:p>
    <w:p w14:paraId="22C9DA5A" w14:textId="77777777" w:rsidR="006637D9" w:rsidRPr="006637D9" w:rsidRDefault="006637D9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 w:rsidRPr="006637D9">
        <w:rPr>
          <w:rFonts w:asciiTheme="minorHAnsi" w:eastAsiaTheme="minorHAnsi" w:hAnsiTheme="minorHAnsi"/>
        </w:rPr>
        <w:t>5. Upravni odjel za gospodarski razvoj i fondove Europske unije</w:t>
      </w:r>
    </w:p>
    <w:p w14:paraId="34CA6F82" w14:textId="77777777" w:rsidR="006637D9" w:rsidRPr="006637D9" w:rsidRDefault="006637D9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 w:rsidRPr="006637D9">
        <w:rPr>
          <w:rFonts w:asciiTheme="minorHAnsi" w:eastAsiaTheme="minorHAnsi" w:hAnsiTheme="minorHAnsi"/>
        </w:rPr>
        <w:t>6. Upravni odjel za prostorno uređenje i zaštitu okoliša</w:t>
      </w:r>
    </w:p>
    <w:p w14:paraId="72D55A17" w14:textId="5524ACA3" w:rsidR="006637D9" w:rsidRDefault="006637D9" w:rsidP="006637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 w:rsidRPr="006637D9">
        <w:rPr>
          <w:rFonts w:asciiTheme="minorHAnsi" w:eastAsiaTheme="minorHAnsi" w:hAnsiTheme="minorHAnsi"/>
        </w:rPr>
        <w:t>7. Služba za unutarnju reviziju</w:t>
      </w:r>
    </w:p>
    <w:p w14:paraId="1F7D6878" w14:textId="7D6840E4" w:rsidR="006637D9" w:rsidRDefault="006637D9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</w:p>
    <w:p w14:paraId="0A24690D" w14:textId="12926D17" w:rsidR="0084660D" w:rsidRDefault="0084660D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Zbog navedenog nije moguća usporedba po </w:t>
      </w:r>
      <w:r w:rsidR="00544317">
        <w:rPr>
          <w:rFonts w:asciiTheme="minorHAnsi" w:eastAsiaTheme="minorHAnsi" w:hAnsiTheme="minorHAnsi"/>
        </w:rPr>
        <w:t>organizacijskim</w:t>
      </w:r>
      <w:r>
        <w:rPr>
          <w:rFonts w:asciiTheme="minorHAnsi" w:eastAsiaTheme="minorHAnsi" w:hAnsiTheme="minorHAnsi"/>
        </w:rPr>
        <w:t xml:space="preserve"> jedinicama za 2021. i 2022.godinu.</w:t>
      </w:r>
    </w:p>
    <w:p w14:paraId="238E5DEC" w14:textId="6E6DECDA" w:rsidR="0084660D" w:rsidRDefault="0084660D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 w:rsidRPr="0084660D">
        <w:rPr>
          <w:rFonts w:asciiTheme="minorHAnsi" w:eastAsiaTheme="minorHAnsi" w:hAnsiTheme="minorHAnsi"/>
        </w:rPr>
        <w:t>U slijedećoj se tablici prikazuju proračunska sredstva raspoređena prema planu za 2022.godinu po upravnim odjelima gradske uprave i proračunskim korisnicima Grada Kaštela.</w:t>
      </w:r>
    </w:p>
    <w:p w14:paraId="06811B4B" w14:textId="77777777" w:rsidR="0084660D" w:rsidRDefault="0084660D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</w:p>
    <w:tbl>
      <w:tblPr>
        <w:tblW w:w="9643" w:type="dxa"/>
        <w:tblLook w:val="04A0" w:firstRow="1" w:lastRow="0" w:firstColumn="1" w:lastColumn="0" w:noHBand="0" w:noVBand="1"/>
      </w:tblPr>
      <w:tblGrid>
        <w:gridCol w:w="4673"/>
        <w:gridCol w:w="1032"/>
        <w:gridCol w:w="1094"/>
        <w:gridCol w:w="1032"/>
        <w:gridCol w:w="1032"/>
        <w:gridCol w:w="780"/>
      </w:tblGrid>
      <w:tr w:rsidR="000746E6" w:rsidRPr="00C12A78" w14:paraId="35528ED4" w14:textId="77777777" w:rsidTr="000746E6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81D742" w14:textId="77777777" w:rsidR="00C12A78" w:rsidRPr="00C12A78" w:rsidRDefault="00C12A78" w:rsidP="00C12A78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2BB082" w14:textId="77777777" w:rsidR="00C12A78" w:rsidRPr="00C12A78" w:rsidRDefault="00C12A78" w:rsidP="00C12A78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sz w:val="16"/>
                <w:szCs w:val="16"/>
                <w:lang w:eastAsia="hr-HR"/>
              </w:rPr>
              <w:t>Plan 2021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B1F212D" w14:textId="77777777" w:rsidR="00C12A78" w:rsidRPr="00C12A78" w:rsidRDefault="00C12A78" w:rsidP="00C12A78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sz w:val="16"/>
                <w:szCs w:val="16"/>
                <w:lang w:eastAsia="hr-HR"/>
              </w:rPr>
              <w:t>Plan 2021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488CCC" w14:textId="77777777" w:rsidR="00C12A78" w:rsidRPr="00C12A78" w:rsidRDefault="00C12A78" w:rsidP="00C12A78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sz w:val="16"/>
                <w:szCs w:val="16"/>
                <w:lang w:eastAsia="hr-HR"/>
              </w:rPr>
              <w:t>Plan 2022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E4E3298" w14:textId="77777777" w:rsidR="00C12A78" w:rsidRPr="00C12A78" w:rsidRDefault="00C12A78" w:rsidP="00C12A78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sz w:val="16"/>
                <w:szCs w:val="16"/>
                <w:lang w:eastAsia="hr-HR"/>
              </w:rPr>
              <w:t>Plan 2022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F7CBCE" w14:textId="77777777" w:rsidR="00C12A78" w:rsidRPr="00C12A78" w:rsidRDefault="00C12A78" w:rsidP="00C12A78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sz w:val="16"/>
                <w:szCs w:val="16"/>
                <w:lang w:eastAsia="hr-HR"/>
              </w:rPr>
              <w:t>Udjel 2022.</w:t>
            </w:r>
          </w:p>
        </w:tc>
      </w:tr>
      <w:tr w:rsidR="00C12A78" w:rsidRPr="00C12A78" w14:paraId="520E1AFC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318F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UPRAVNI ODJEL ZA POSLOVE GRADONAČELNIKA I GRADSKO VIJEĆE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0CEB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3.152.500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8A3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3.152.500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92F4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8E41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37DD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02BDA0C6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1F93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UPRAVNI ODJEL ZA FINANCIJE, PRORAČUN I JAVNU NABAVU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FEB4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31.831.050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10FE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31.831.050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A355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E386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6EF6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7A2AE2CC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7165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UPRAVNI ODJEL ZA KOMUNALNO GOSPODARSTVO, IMOVINSKO PRAVNE POSLOVE I ZAŠTITU OKOLIŠA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02A4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94.024.412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1AFB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94.024.412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DB03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D509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9707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396E8C26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A498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Odsjek za izgradnju i održavanje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380F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42.777.000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14CF2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92.967.510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D448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8501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4FB4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65C6A20A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6CE3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Odsjek za komunalne djelatnosti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2D8F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7.533.000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1B2C6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1803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333C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6049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4817D9C2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4B74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Odsjek za imovinsko pravne poslove, gospodarenje gradskom imovinom i zaštitu okoliša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5140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27.350.010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3A8E4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05D9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4507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E64C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370ABF55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3E6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Odsjek za gospodarstvo i EU fondove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F206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15.307.500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BB75B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FC77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5C57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39DD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191E6559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F6DF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RAZVOJNA AGENCIJA GRADA KAŠTELA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9E6E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1.056.902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BE80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1.056.902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F47D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3DE5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55E6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772F8E8D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C67F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UPRAVNI ODJEL ZA PROSTORNO UREĐENJEI GRADNJU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D4B2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1.360.000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9358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1.360.000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7946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5843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B00D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33132DCE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C163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UPRAVNI ODJEL ZA DRUŠTVENE DJELATNOSTI I OPĆE POSLOVE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F112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75.833.053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0DFD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75.833.053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8392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37A7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E3AD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4E168765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F608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Upravni odjel za društvene djelatnosti i opće poslove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3B3E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45.615.500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850E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45.615.500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382A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6112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EA1F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0BC48815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0941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Gradska Knjižnica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DB1B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2.949.850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6224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27.577.553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D5EC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8637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D0C2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1D886BFB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4CCC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Muzej Grada Kaštela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E64F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3.320.200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32104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78C3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904F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D469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2E573E2F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39A1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Dječji vrtić Kaštela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86DE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19.441.800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0C105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DCDF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1AD3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D2E4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3DAE353E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643E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Javna ustanova sportski objekti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9030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1.865.703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37054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4021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DDFA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64D5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5AFBE865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5AB9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Javna vatrogasna postrojba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44D2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2.640.000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0F6C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2.640.000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61A0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0439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FB62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72463C9D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4608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KOMUNALNI POGON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647E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25.017.000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0978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25.017.000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1650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CD1D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810A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A78" w:rsidRPr="00C12A78" w14:paraId="3EC8CCFA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471A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Upravni odjel za poslove Gradonačelnika i stručne poslove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71DC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CE59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2CD6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3.356.200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D500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3.356.200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30DF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1,76%</w:t>
            </w:r>
          </w:p>
        </w:tc>
      </w:tr>
      <w:tr w:rsidR="00C12A78" w:rsidRPr="00C12A78" w14:paraId="30EDCA87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773A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Upravni odjel za financije, javnu nabavu i naplatu prihoda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AED5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F526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8F7D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28.208.000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A2B3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28.208.000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8345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14,79%</w:t>
            </w:r>
          </w:p>
        </w:tc>
      </w:tr>
      <w:tr w:rsidR="00C12A78" w:rsidRPr="00C12A78" w14:paraId="1D46CFC0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7C6E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Upravni odjel za komunalno gospodarstvo i imovinu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4435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5A3B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4D05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42.920.000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8C82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42.920.000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534F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22,50%</w:t>
            </w:r>
          </w:p>
        </w:tc>
      </w:tr>
      <w:tr w:rsidR="00C12A78" w:rsidRPr="00C12A78" w14:paraId="7DEAF176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841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Odsjek za izgradnju i održavanje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A598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C36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4DFC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37.530.000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A97F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42.920.000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4D0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19,68%</w:t>
            </w:r>
          </w:p>
        </w:tc>
      </w:tr>
      <w:tr w:rsidR="00C12A78" w:rsidRPr="00C12A78" w14:paraId="6E5346BF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3B05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Odsjek za imovinsko pravne poslove i gospodarenje gradskom imovinom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1219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1668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7F01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5.390.000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F206E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F85A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2,83%</w:t>
            </w:r>
          </w:p>
        </w:tc>
      </w:tr>
      <w:tr w:rsidR="00C12A78" w:rsidRPr="00C12A78" w14:paraId="78DFBAC9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F41E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Upravni odjel za gospodarski razvoj i fondove Europske unije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D792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F07A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5CA6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18.784.000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2E77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18.784.000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3CC1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9,85%</w:t>
            </w:r>
          </w:p>
        </w:tc>
      </w:tr>
      <w:tr w:rsidR="00C12A78" w:rsidRPr="00C12A78" w14:paraId="6516D86B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A8D5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Odsjek za komunalno redarstvo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B7F0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53BF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8CE4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708.000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041C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749E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0,37%</w:t>
            </w:r>
          </w:p>
        </w:tc>
      </w:tr>
      <w:tr w:rsidR="00C12A78" w:rsidRPr="00C12A78" w14:paraId="4B39DD59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6700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Odsjek za gospodarstvo i komunalne djelatnosti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3495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F9D8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9269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9.195.000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08FCD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7428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4,82%</w:t>
            </w:r>
          </w:p>
        </w:tc>
      </w:tr>
      <w:tr w:rsidR="00C12A78" w:rsidRPr="00C12A78" w14:paraId="6DB98C08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8FBA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Odsjek  EU fondove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97BC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AD83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467E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7.860.000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229B0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1D93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4,12%</w:t>
            </w:r>
          </w:p>
        </w:tc>
      </w:tr>
      <w:tr w:rsidR="00C12A78" w:rsidRPr="00C12A78" w14:paraId="18771BF8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03E0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RAZVOJNA AGENCIJA GRADA KAŠTELA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4A52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EA22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E9A1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1.021.000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7FB6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1.021.000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21C3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0,54%</w:t>
            </w:r>
          </w:p>
        </w:tc>
      </w:tr>
      <w:tr w:rsidR="00C12A78" w:rsidRPr="00C12A78" w14:paraId="6495F011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C2AD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Upravni odjel za prostorno uređenje i zaštitu okoliša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2890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DB42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1644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1.262.500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1DC0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1.262.500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0991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0,66%</w:t>
            </w:r>
          </w:p>
        </w:tc>
      </w:tr>
      <w:tr w:rsidR="00C12A78" w:rsidRPr="00C12A78" w14:paraId="0315634B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A7B2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Upravni odjel za društvene djelatnosti i zajedničke poslove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4A9A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E836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399C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74.147.200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CEEC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74.147.200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DE85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38,87%</w:t>
            </w:r>
          </w:p>
        </w:tc>
      </w:tr>
      <w:tr w:rsidR="00C12A78" w:rsidRPr="00C12A78" w14:paraId="10F84D03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F8F4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Upravni odjel za društvene djelatnosti i zajedničke poslove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9824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4BFB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D126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45.338.000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671C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45.338.000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81E0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23,77%</w:t>
            </w:r>
          </w:p>
        </w:tc>
      </w:tr>
      <w:tr w:rsidR="00C12A78" w:rsidRPr="00C12A78" w14:paraId="0B024E00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2F61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Gradska Knjižnica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540E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A9A8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3C37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3.186.700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1EDF0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28.809.200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CF81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1,67%</w:t>
            </w:r>
          </w:p>
        </w:tc>
      </w:tr>
      <w:tr w:rsidR="00C12A78" w:rsidRPr="00C12A78" w14:paraId="77FC98E9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0A13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Muzej Grada Kaštela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5DF5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5EEF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FC59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3.283.500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6B02E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CA58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1,72%</w:t>
            </w:r>
          </w:p>
        </w:tc>
      </w:tr>
      <w:tr w:rsidR="00C12A78" w:rsidRPr="00C12A78" w14:paraId="6BC74CF8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2818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Dječji vrtić Kaštela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E787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F279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C9EB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20.285.000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044E3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B6DF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10,63%</w:t>
            </w:r>
          </w:p>
        </w:tc>
      </w:tr>
      <w:tr w:rsidR="00C12A78" w:rsidRPr="00C12A78" w14:paraId="02B7D78F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BCA1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Javna ustanova sportski objekti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541D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BE65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E4B5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2.054.000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AE08E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512B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color w:val="000000"/>
                <w:sz w:val="16"/>
                <w:szCs w:val="16"/>
                <w:lang w:eastAsia="hr-HR"/>
              </w:rPr>
              <w:t>1,08%</w:t>
            </w:r>
          </w:p>
        </w:tc>
      </w:tr>
      <w:tr w:rsidR="00C12A78" w:rsidRPr="00C12A78" w14:paraId="7D63D2C3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4304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KOMUNALNI POGON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E7E4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F4D7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9BDE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22.068.750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8397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22.068.750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1FEF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11,57%</w:t>
            </w:r>
          </w:p>
        </w:tc>
      </w:tr>
      <w:tr w:rsidR="000746E6" w:rsidRPr="00C12A78" w14:paraId="1485BD3C" w14:textId="77777777" w:rsidTr="000746E6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9972DB" w14:textId="77777777" w:rsidR="00C12A78" w:rsidRPr="00C12A78" w:rsidRDefault="00C12A78" w:rsidP="00C12A78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sz w:val="16"/>
                <w:szCs w:val="16"/>
                <w:lang w:eastAsia="hr-HR"/>
              </w:rPr>
              <w:t>SUMA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D82AAE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sz w:val="16"/>
                <w:szCs w:val="16"/>
                <w:lang w:eastAsia="hr-HR"/>
              </w:rPr>
              <w:t>231.218.015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EA1713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sz w:val="16"/>
                <w:szCs w:val="16"/>
                <w:lang w:eastAsia="hr-HR"/>
              </w:rPr>
              <w:t>231.218.015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8400C7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sz w:val="16"/>
                <w:szCs w:val="16"/>
                <w:lang w:eastAsia="hr-HR"/>
              </w:rPr>
              <w:t>190.746.650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1EBA11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sz w:val="16"/>
                <w:szCs w:val="16"/>
                <w:lang w:eastAsia="hr-HR"/>
              </w:rPr>
              <w:t>190.746.650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D50DF7" w14:textId="77777777" w:rsidR="00C12A78" w:rsidRPr="00C12A78" w:rsidRDefault="00C12A78" w:rsidP="00C12A78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C12A78">
              <w:rPr>
                <w:rFonts w:cs="Calibri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</w:tbl>
    <w:p w14:paraId="2D984736" w14:textId="45F0A321" w:rsidR="00C12A78" w:rsidRPr="00C12A78" w:rsidRDefault="00C12A78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16"/>
          <w:szCs w:val="16"/>
        </w:rPr>
      </w:pPr>
    </w:p>
    <w:p w14:paraId="3BAF11E3" w14:textId="464E16B1" w:rsidR="00C12A78" w:rsidRPr="00C12A78" w:rsidRDefault="00C12A78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16"/>
          <w:szCs w:val="16"/>
        </w:rPr>
      </w:pPr>
    </w:p>
    <w:p w14:paraId="478A3906" w14:textId="69E46098" w:rsidR="00FC510B" w:rsidRDefault="008E483C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</w:rPr>
      </w:pPr>
      <w:r>
        <w:rPr>
          <w:noProof/>
        </w:rPr>
        <w:drawing>
          <wp:inline distT="0" distB="0" distL="0" distR="0" wp14:anchorId="795A9549" wp14:editId="19517F39">
            <wp:extent cx="5939790" cy="3781425"/>
            <wp:effectExtent l="19050" t="19050" r="22860" b="9525"/>
            <wp:docPr id="16" name="Grafikon 16">
              <a:extLst xmlns:a="http://schemas.openxmlformats.org/drawingml/2006/main">
                <a:ext uri="{FF2B5EF4-FFF2-40B4-BE49-F238E27FC236}">
                  <a16:creationId xmlns:a16="http://schemas.microsoft.com/office/drawing/2014/main" id="{D088606E-39F5-48BF-9273-BDFF02FB90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20A5FEA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0"/>
          <w:szCs w:val="20"/>
        </w:rPr>
      </w:pPr>
      <w:r w:rsidRPr="005563FB">
        <w:rPr>
          <w:rFonts w:asciiTheme="minorHAnsi" w:eastAsiaTheme="minorHAnsi" w:hAnsiTheme="minorHAnsi"/>
          <w:sz w:val="20"/>
          <w:szCs w:val="20"/>
        </w:rPr>
        <w:t>Grafički prikaz udjela rashoda po organizacijskoj klasifikaciji</w:t>
      </w:r>
    </w:p>
    <w:p w14:paraId="230E6442" w14:textId="253F2C36" w:rsidR="005563FB" w:rsidRDefault="0079499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Zbog nemogućnosti usporedbe za 2021 i</w:t>
      </w:r>
      <w:r w:rsidR="00BC671E">
        <w:rPr>
          <w:rFonts w:asciiTheme="minorHAnsi" w:eastAsiaTheme="minorHAnsi" w:hAnsi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/>
          <w:sz w:val="24"/>
          <w:szCs w:val="24"/>
        </w:rPr>
        <w:t>2022.godinu po organizacijskoj klasifikaciji, prikazat ćemo usporedbu po programskoj klasifikaciji:</w:t>
      </w:r>
    </w:p>
    <w:p w14:paraId="092C05CE" w14:textId="78E757EB" w:rsidR="00794994" w:rsidRDefault="0079499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840"/>
        <w:gridCol w:w="3975"/>
        <w:gridCol w:w="1032"/>
        <w:gridCol w:w="1128"/>
        <w:gridCol w:w="1032"/>
        <w:gridCol w:w="842"/>
        <w:gridCol w:w="780"/>
      </w:tblGrid>
      <w:tr w:rsidR="00317EE3" w:rsidRPr="00317EE3" w14:paraId="073C54B3" w14:textId="77777777" w:rsidTr="00317EE3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6D42DD" w14:textId="77777777" w:rsidR="00317EE3" w:rsidRPr="00317EE3" w:rsidRDefault="00317EE3" w:rsidP="00317EE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2AAEE86" w14:textId="77777777" w:rsidR="00317EE3" w:rsidRPr="00317EE3" w:rsidRDefault="00317EE3" w:rsidP="00317EE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b/>
                <w:bCs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8D8D82" w14:textId="77777777" w:rsidR="00317EE3" w:rsidRPr="00317EE3" w:rsidRDefault="00317EE3" w:rsidP="00317EE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b/>
                <w:bCs/>
                <w:sz w:val="16"/>
                <w:szCs w:val="16"/>
                <w:lang w:eastAsia="hr-HR"/>
              </w:rPr>
              <w:t>Plan 2021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7A6D66" w14:textId="77777777" w:rsidR="00317EE3" w:rsidRPr="00317EE3" w:rsidRDefault="00317EE3" w:rsidP="00317EE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b/>
                <w:bCs/>
                <w:sz w:val="16"/>
                <w:szCs w:val="16"/>
                <w:lang w:eastAsia="hr-HR"/>
              </w:rPr>
              <w:t>Razlika 2022-2021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C3AC3D" w14:textId="77777777" w:rsidR="00317EE3" w:rsidRPr="00317EE3" w:rsidRDefault="00317EE3" w:rsidP="00317EE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b/>
                <w:bCs/>
                <w:sz w:val="16"/>
                <w:szCs w:val="16"/>
                <w:lang w:eastAsia="hr-HR"/>
              </w:rPr>
              <w:t>Plan 2022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B34CE4" w14:textId="77777777" w:rsidR="00317EE3" w:rsidRPr="00317EE3" w:rsidRDefault="00317EE3" w:rsidP="00317EE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99B187" w14:textId="77777777" w:rsidR="00317EE3" w:rsidRPr="00317EE3" w:rsidRDefault="00317EE3" w:rsidP="00317EE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b/>
                <w:bCs/>
                <w:sz w:val="16"/>
                <w:szCs w:val="16"/>
                <w:lang w:eastAsia="hr-HR"/>
              </w:rPr>
              <w:t>Udjel 2022.</w:t>
            </w:r>
          </w:p>
        </w:tc>
      </w:tr>
      <w:tr w:rsidR="00317EE3" w:rsidRPr="00317EE3" w14:paraId="134F0724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8A0389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bookmarkStart w:id="17" w:name="_Hlk89412758"/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B67490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RAD PREDSTAVNIČKOG I  IZVRŠNOG TIJELA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A2915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3.152.500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AE154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203.700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728BB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3.356.200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4661C2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106,46%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52107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1,76%</w:t>
            </w:r>
          </w:p>
        </w:tc>
      </w:tr>
      <w:bookmarkEnd w:id="17"/>
      <w:tr w:rsidR="00317EE3" w:rsidRPr="00317EE3" w14:paraId="3A50FC09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BC5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A1001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C573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Suradnja s gradovima prijateljima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B72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240.000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107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6EC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408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16,67%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4C8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0,02%</w:t>
            </w:r>
          </w:p>
        </w:tc>
      </w:tr>
      <w:tr w:rsidR="00317EE3" w:rsidRPr="00317EE3" w14:paraId="009309C9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BE0F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A1001 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28A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Obilježavanje značajnijih datuma i obljetnica te ostalih događaja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7B6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291.000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744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-46.000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D16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245.000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C93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84,19%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EFD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0,13%</w:t>
            </w:r>
          </w:p>
        </w:tc>
      </w:tr>
      <w:tr w:rsidR="00317EE3" w:rsidRPr="00317EE3" w14:paraId="449C27E1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03D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A1001 03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16B2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Rad predstavničkih, izvršnih tijela i povjerenstava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6EB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101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A9E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274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C97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0,26%</w:t>
            </w:r>
          </w:p>
        </w:tc>
      </w:tr>
      <w:tr w:rsidR="00317EE3" w:rsidRPr="00317EE3" w14:paraId="741C1DE5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BA2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A1001 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4F94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Proračunska zaliha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A49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840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E3B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DD1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8DA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0,08%</w:t>
            </w:r>
          </w:p>
        </w:tc>
      </w:tr>
      <w:tr w:rsidR="00317EE3" w:rsidRPr="00317EE3" w14:paraId="53E774FB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D42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A1001 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911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Izbori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425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477.300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469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-347.300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D46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130.000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EF7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27,24%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F6A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0,07%</w:t>
            </w:r>
          </w:p>
        </w:tc>
      </w:tr>
      <w:tr w:rsidR="00317EE3" w:rsidRPr="00317EE3" w14:paraId="78395B33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94E0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A1001 06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5175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Informiranje javnosti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C78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390.000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421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4C5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485.000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733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124,36%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7F2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0,25%</w:t>
            </w:r>
          </w:p>
        </w:tc>
      </w:tr>
      <w:tr w:rsidR="00317EE3" w:rsidRPr="00317EE3" w14:paraId="3634DAC0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B7C7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A1001 10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17B3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Financiranje političkih stranaka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EFA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255.000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2B1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057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255.000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A17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50C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0,13%</w:t>
            </w:r>
          </w:p>
        </w:tc>
      </w:tr>
      <w:tr w:rsidR="00317EE3" w:rsidRPr="00317EE3" w14:paraId="69E852DC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BB1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A1001 12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0653" w14:textId="5B42FD28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Rashodi javne </w:t>
            </w:r>
            <w:r w:rsidR="00544317"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uprave</w:t>
            </w:r>
            <w:r w:rsidR="0065136D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A849B2">
              <w:rPr>
                <w:rFonts w:cs="Calibri"/>
                <w:color w:val="000000"/>
                <w:sz w:val="16"/>
                <w:szCs w:val="16"/>
                <w:lang w:eastAsia="hr-HR"/>
              </w:rPr>
              <w:t>i informatike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803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835.000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4EB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680.000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C94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1.515.000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79D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181,44%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01A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0,79%</w:t>
            </w:r>
          </w:p>
        </w:tc>
      </w:tr>
      <w:tr w:rsidR="00317EE3" w:rsidRPr="00317EE3" w14:paraId="3C9CF790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B10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A1001 13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B4C9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Nacionalne manjine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48E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4.200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97F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DAB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4.200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95F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DA2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317EE3" w:rsidRPr="00317EE3" w14:paraId="5DE54922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30A4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A1001 11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01E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Savjet mladih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04B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956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8D5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32.000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34E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320,00%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4F0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0,02%</w:t>
            </w:r>
          </w:p>
        </w:tc>
      </w:tr>
      <w:tr w:rsidR="00317EE3" w:rsidRPr="00317EE3" w14:paraId="08AE6138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3380C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E05F63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4B80D9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31.831.050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ED3AC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-3.623.050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F4F2F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28.208.000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1974D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88,62%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A48C7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14,79%</w:t>
            </w:r>
          </w:p>
        </w:tc>
      </w:tr>
      <w:tr w:rsidR="00317EE3" w:rsidRPr="00317EE3" w14:paraId="4E220BDF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5199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A1002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3387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667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16.730.000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7AF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905.000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EDA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17.635.000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5D9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105,41%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151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9,25%</w:t>
            </w:r>
          </w:p>
        </w:tc>
      </w:tr>
      <w:tr w:rsidR="00317EE3" w:rsidRPr="00317EE3" w14:paraId="79A6875C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3A0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A1002 03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44D0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955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14.034.000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D44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-3.491.000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345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10.543.000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A11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75,12%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744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5,53%</w:t>
            </w:r>
          </w:p>
        </w:tc>
      </w:tr>
      <w:tr w:rsidR="00317EE3" w:rsidRPr="00317EE3" w14:paraId="4ACC9BA7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C904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A1002 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43D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Rashodi </w:t>
            </w:r>
            <w:r w:rsidRPr="00A849B2">
              <w:rPr>
                <w:rFonts w:cs="Calibri"/>
                <w:strike/>
                <w:color w:val="000000"/>
                <w:sz w:val="16"/>
                <w:szCs w:val="16"/>
                <w:lang w:eastAsia="hr-HR"/>
              </w:rPr>
              <w:t>informatičkog sustava</w:t>
            </w: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 i javne nabave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817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1.067.050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D34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-1.037.050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DF3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AA8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2,81%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DDD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0,02%</w:t>
            </w:r>
          </w:p>
        </w:tc>
      </w:tr>
      <w:tr w:rsidR="00317EE3" w:rsidRPr="00317EE3" w14:paraId="339F74D7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7C31C2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P1003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8D9C06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ODRŽAVANJE KOMUNALNE INFRASTRUKTURE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A73CA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9.200.000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CF1F3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EDA2E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8F3F8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108,70%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85D09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5,24%</w:t>
            </w:r>
          </w:p>
        </w:tc>
      </w:tr>
      <w:tr w:rsidR="00317EE3" w:rsidRPr="00317EE3" w14:paraId="5ED662B6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22F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A1003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174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Održavanje nerazvrstanih cesta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B8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9.200.000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160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DEE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7EB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108,70%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05C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5,24%</w:t>
            </w:r>
          </w:p>
        </w:tc>
      </w:tr>
      <w:tr w:rsidR="00317EE3" w:rsidRPr="00317EE3" w14:paraId="6A938B5A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95C6C4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P1006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F74790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IZGRADNJA KOMUNALNE INFRASTRUKTURE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812A8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25.610.000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49D80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-5.430.000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F28ED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20.180.000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5DB9D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78,80%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AE9B9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10,58%</w:t>
            </w:r>
          </w:p>
        </w:tc>
      </w:tr>
      <w:tr w:rsidR="00317EE3" w:rsidRPr="00317EE3" w14:paraId="2621F594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EEF0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K1006 03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2E9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 Groblja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936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A40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F4A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1.200.000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DA1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120,00%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A6F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0,63%</w:t>
            </w:r>
          </w:p>
        </w:tc>
      </w:tr>
      <w:tr w:rsidR="00317EE3" w:rsidRPr="00317EE3" w14:paraId="1E13D4BF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F50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K1006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B5B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Javne površine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C82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9.500.000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99A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-5.100.000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8C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4.400.000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23E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46,32%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788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2,31%</w:t>
            </w:r>
          </w:p>
        </w:tc>
      </w:tr>
      <w:tr w:rsidR="00317EE3" w:rsidRPr="00317EE3" w14:paraId="5454BDA6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66F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K1006 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322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Nerazvrstane ceste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D7F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14.260.000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D16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-210.000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6E5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14.050.000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2CB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98,53%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4C8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7,37%</w:t>
            </w:r>
          </w:p>
        </w:tc>
      </w:tr>
      <w:tr w:rsidR="00317EE3" w:rsidRPr="00317EE3" w14:paraId="54C3EF97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6FE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K1006 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FE20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Javna rasvjeta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075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55C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-320.000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27C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530.000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181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62,35%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350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0,28%</w:t>
            </w:r>
          </w:p>
        </w:tc>
      </w:tr>
      <w:tr w:rsidR="00317EE3" w:rsidRPr="00317EE3" w14:paraId="0717FFC4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CB52B6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bookmarkStart w:id="18" w:name="_Hlk89413945"/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P1008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310EA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PROSTORNO PLANIRANJE (PPU,GUP,UPU,DPU)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0CAE6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1.360.000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8AAD8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-227.500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3022A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1.132.500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AD6DB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83,27%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57605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0,59%</w:t>
            </w:r>
          </w:p>
        </w:tc>
      </w:tr>
      <w:bookmarkEnd w:id="18"/>
      <w:tr w:rsidR="00317EE3" w:rsidRPr="00317EE3" w14:paraId="4DA57A5F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B5F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K1008 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255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Studije podloge i ostala planska dokumentacija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500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1.190.000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F8D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-205.000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013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985.000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FAB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82,77%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26D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0,52%</w:t>
            </w:r>
          </w:p>
        </w:tc>
      </w:tr>
      <w:tr w:rsidR="00317EE3" w:rsidRPr="00317EE3" w14:paraId="2CB7D8F2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6E0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K1008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8C8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Prostorni planovi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5D3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170.000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64C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-22.500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A63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147.500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853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86,76%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64C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0,08%</w:t>
            </w:r>
          </w:p>
        </w:tc>
      </w:tr>
      <w:tr w:rsidR="00317EE3" w:rsidRPr="00317EE3" w14:paraId="31E8118B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0A8DA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P1012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E96CC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PREDŠKOLSKI ODGOJ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FDF23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31.191.800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421A7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3.093.200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FE5C6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34.285.000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2C1AC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109,92%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0C676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17,97%</w:t>
            </w:r>
          </w:p>
        </w:tc>
      </w:tr>
      <w:tr w:rsidR="00317EE3" w:rsidRPr="00317EE3" w14:paraId="7596643A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D8A4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A1012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C892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DJEČJI VRTIĆ "KAŠTELA"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5D5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19.441.800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6CF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843.200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B0A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20.285.000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C2F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104,34%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4E1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10,63%</w:t>
            </w:r>
          </w:p>
        </w:tc>
      </w:tr>
      <w:tr w:rsidR="00317EE3" w:rsidRPr="00317EE3" w14:paraId="32FD5B39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F4C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A1012 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CA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Dječji vrtić "Jordanovac"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3EC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834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01D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96C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120,00%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8D0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0,47%</w:t>
            </w:r>
          </w:p>
        </w:tc>
      </w:tr>
      <w:tr w:rsidR="00317EE3" w:rsidRPr="00317EE3" w14:paraId="0B633D59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56D9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A1012 06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A51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Dječji vrtić "Blagovijest"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35A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DFA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C1A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A47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114,29%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95C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0,42%</w:t>
            </w:r>
          </w:p>
        </w:tc>
      </w:tr>
      <w:tr w:rsidR="00317EE3" w:rsidRPr="00317EE3" w14:paraId="32BC0711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3B32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A1012 03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F264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Dječji vrtić "Mali Isus"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984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C81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1FF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A84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114,29%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C24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0,21%</w:t>
            </w:r>
          </w:p>
        </w:tc>
      </w:tr>
      <w:tr w:rsidR="00317EE3" w:rsidRPr="00317EE3" w14:paraId="75F1DF75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F8E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A1012 07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CA8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Dječji vrtić "Čarobni pianino"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2B9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7.850.000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D5D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1.650.000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6E9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9.500.000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C72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121,02%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591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4,98%</w:t>
            </w:r>
          </w:p>
        </w:tc>
      </w:tr>
      <w:tr w:rsidR="00317EE3" w:rsidRPr="00317EE3" w14:paraId="24080706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815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A1012 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C25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Dječji vrtić "Sunce moje malo"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A9F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1.900.000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8C0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67C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2.300.000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FDD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121,05%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6A8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1,21%</w:t>
            </w:r>
          </w:p>
        </w:tc>
      </w:tr>
      <w:tr w:rsidR="00317EE3" w:rsidRPr="00317EE3" w14:paraId="73E8ECAB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2614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A1012 08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B03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Sufinanciranje usluga dadilja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38B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26B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CFF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1BA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C9A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317EE3" w:rsidRPr="00317EE3" w14:paraId="007C4888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4B64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A1012 09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0B2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Sufinanciranje vrtića na području Grada Trogira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B59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7D4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424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288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DC1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317EE3" w:rsidRPr="00317EE3" w14:paraId="15794252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F74BA5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P1015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1DC24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PROMICANJE KULTURE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B3BC3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2.890.000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49802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C6F62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2.540.000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DEB5E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87,89%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F5102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1,33%</w:t>
            </w:r>
          </w:p>
        </w:tc>
      </w:tr>
      <w:tr w:rsidR="00317EE3" w:rsidRPr="00317EE3" w14:paraId="72FBD190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0653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A1015 03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836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Kaštelanska kulturna događanja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094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1.140.000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28A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A27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1.090.000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371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95,61%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96C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0,57%</w:t>
            </w:r>
          </w:p>
        </w:tc>
      </w:tr>
      <w:tr w:rsidR="00317EE3" w:rsidRPr="00317EE3" w14:paraId="4915CEB8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84E3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A1015 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D0C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Financiranje kulture po programima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4E9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FC4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031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1.300.000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8EF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81,25%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B52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0,68%</w:t>
            </w:r>
          </w:p>
        </w:tc>
      </w:tr>
      <w:tr w:rsidR="00317EE3" w:rsidRPr="00317EE3" w14:paraId="4C113E09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DE29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A1015 06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B3F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Promicanje tehničke kulture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17B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A84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EC6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381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950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0,08%</w:t>
            </w:r>
          </w:p>
        </w:tc>
      </w:tr>
      <w:tr w:rsidR="00317EE3" w:rsidRPr="00317EE3" w14:paraId="4D3A0F0F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85B417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P1013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5AA182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MUZEJ GRADA KAŠTELA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F2D92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3.320.200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82BB9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-36.700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6254E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3.283.500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60411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98,89%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ACFB8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1,72%</w:t>
            </w:r>
          </w:p>
        </w:tc>
      </w:tr>
      <w:tr w:rsidR="00317EE3" w:rsidRPr="00317EE3" w14:paraId="208A7426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8219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A1013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D624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Muzej grada Kaštela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13D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3.320.200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2D7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-36.700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32E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3.283.500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A23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98,89%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D1E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1,72%</w:t>
            </w:r>
          </w:p>
        </w:tc>
      </w:tr>
      <w:tr w:rsidR="00317EE3" w:rsidRPr="00317EE3" w14:paraId="29EB61FB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96A3B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P1014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14132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GRADSKA KNJIŽNICA KAŠTELA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3081E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2.949.850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F3A17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236.850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85CB4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3.186.700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D3A74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108,03%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C6064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1,67%</w:t>
            </w:r>
          </w:p>
        </w:tc>
      </w:tr>
      <w:tr w:rsidR="00317EE3" w:rsidRPr="00317EE3" w14:paraId="60AE020A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96A7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A1014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4E8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Gradska knjižnica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2E7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2.949.850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A03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236.850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E8F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3.186.700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933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108,03%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404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1,67%</w:t>
            </w:r>
          </w:p>
        </w:tc>
      </w:tr>
      <w:tr w:rsidR="00317EE3" w:rsidRPr="00317EE3" w14:paraId="48921C18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912B74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P1016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3CB13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SOCIJALNI PROGRAM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6888E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9.796.000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5865E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103.000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4AF96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9.899.000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4FE3F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101,05%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E9C0B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5,19%</w:t>
            </w:r>
          </w:p>
        </w:tc>
      </w:tr>
      <w:tr w:rsidR="00317EE3" w:rsidRPr="00317EE3" w14:paraId="41FAE1FB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9DB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A1016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070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Pomoć obiteljima i kućanstvima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115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6.986.000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9A2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-47.000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096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6.939.000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E36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99,33%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728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3,64%</w:t>
            </w:r>
          </w:p>
        </w:tc>
      </w:tr>
      <w:tr w:rsidR="00317EE3" w:rsidRPr="00317EE3" w14:paraId="52F693E7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4495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A1016 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DF45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Crveni križ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3D6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2C8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1E2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48E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DEF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0,58%</w:t>
            </w:r>
          </w:p>
        </w:tc>
      </w:tr>
      <w:tr w:rsidR="00317EE3" w:rsidRPr="00317EE3" w14:paraId="44F4632C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D84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A1016 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D0A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Programi udruga iz područja socijalne skrbi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29A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DD5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F4C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850.000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232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121,43%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479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0,45%</w:t>
            </w:r>
          </w:p>
        </w:tc>
      </w:tr>
      <w:tr w:rsidR="00317EE3" w:rsidRPr="00317EE3" w14:paraId="35B41614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629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A1016 06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A30F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Programi udruga iz područja unapređenja zdravlja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4CB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FEC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5E3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934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3F6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0,16%</w:t>
            </w:r>
          </w:p>
        </w:tc>
      </w:tr>
      <w:tr w:rsidR="00317EE3" w:rsidRPr="00317EE3" w14:paraId="6F3A95C6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D7E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A1016 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970F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Programi udruga proisteklih iz Domovinskog rata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ECD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710.000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F95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09C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710.000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CCF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3B9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0,37%</w:t>
            </w:r>
          </w:p>
        </w:tc>
      </w:tr>
      <w:tr w:rsidR="00317EE3" w:rsidRPr="00317EE3" w14:paraId="43E4101C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90B42F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P1017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5D2E3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PROGRAM PROMICANJA ŠPORTA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C3B8B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8.065.703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924D8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-111.703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B4EFF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7.954.000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677C6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98,62%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1B42F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4,17%</w:t>
            </w:r>
          </w:p>
        </w:tc>
      </w:tr>
      <w:tr w:rsidR="00317EE3" w:rsidRPr="00317EE3" w14:paraId="009DFD6E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5F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A1017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7F90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Ustanova športa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85B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1.865.703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8AA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153.297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063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2.019.000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9A5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108,22%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C91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1,06%</w:t>
            </w:r>
          </w:p>
        </w:tc>
      </w:tr>
      <w:tr w:rsidR="00317EE3" w:rsidRPr="00317EE3" w14:paraId="0DEA6F96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0D6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A1017 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C55F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Financiranje zajednice športskih udruga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AA5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5.400.000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F43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F02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5.400.000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587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CBF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2,83%</w:t>
            </w:r>
          </w:p>
        </w:tc>
      </w:tr>
      <w:tr w:rsidR="00317EE3" w:rsidRPr="00317EE3" w14:paraId="42E7C09E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8636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A1017 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B2B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Financiranje amaterskih, rekreativnih i ostalih sportskih udruga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DBF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6EA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5C0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3E5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62,50%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A7B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0,26%</w:t>
            </w:r>
          </w:p>
        </w:tc>
      </w:tr>
      <w:tr w:rsidR="00317EE3" w:rsidRPr="00317EE3" w14:paraId="2D294068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3C86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A1017 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B353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Ustanova  Sportski objekti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5E6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7AC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B4B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54D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371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0,02%</w:t>
            </w:r>
          </w:p>
        </w:tc>
      </w:tr>
      <w:tr w:rsidR="00317EE3" w:rsidRPr="00317EE3" w14:paraId="25C82E52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98ACB3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P1018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261D7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ZAŠTITA OD POŽARA I CIVILNA ZAŠTITA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45B1F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7.645.000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C9A9C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-2.590.000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83D91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5.055.000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2D1DD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66,12%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DF18D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2,65%</w:t>
            </w:r>
          </w:p>
        </w:tc>
      </w:tr>
      <w:tr w:rsidR="00317EE3" w:rsidRPr="00317EE3" w14:paraId="7F10B319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C733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A1018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A6F9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Financiranje vatrogasne zajednice i DVD-a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882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4.420.000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31F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AD5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4.420.000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A9D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2D1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2,32%</w:t>
            </w:r>
          </w:p>
        </w:tc>
      </w:tr>
      <w:tr w:rsidR="00317EE3" w:rsidRPr="00317EE3" w14:paraId="39D09C71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C2B0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A1018 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B67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Civilna zaštita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264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335.000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832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7DD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335.000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4E5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5AC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0,18%</w:t>
            </w:r>
          </w:p>
        </w:tc>
      </w:tr>
      <w:tr w:rsidR="00317EE3" w:rsidRPr="00317EE3" w14:paraId="47E93C6B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7E55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A1018 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5035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Gorska služba spašavanja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C61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1D9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795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8A4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120,00%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45F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0,16%</w:t>
            </w:r>
          </w:p>
        </w:tc>
      </w:tr>
      <w:tr w:rsidR="00317EE3" w:rsidRPr="00317EE3" w14:paraId="309EA631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C257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A1018 06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6BE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Javna vatrogasna postrojba Grada Kaštela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772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2.640.000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EA4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-2.640.000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95F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D4F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A07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317EE3" w:rsidRPr="00317EE3" w14:paraId="2337AE3C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5A641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P1021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BDB7D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953E5">
              <w:rPr>
                <w:rFonts w:cs="Calibri"/>
                <w:strike/>
                <w:color w:val="000000"/>
                <w:sz w:val="16"/>
                <w:szCs w:val="16"/>
                <w:lang w:eastAsia="hr-HR"/>
              </w:rPr>
              <w:t>AKTIVNOSTI IZ PODRUČJA GOSPODARSTVA</w:t>
            </w: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 I EU FONDOVA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42A0D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15.307.500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228F2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-7.447.500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DBE7C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7.860.000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58624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51,35%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BE866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4,12%</w:t>
            </w:r>
          </w:p>
        </w:tc>
      </w:tr>
      <w:tr w:rsidR="00317EE3" w:rsidRPr="00317EE3" w14:paraId="4E56033B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F4D6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A1021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82B2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Razvojni projekti za EU i dr. izvore financiranja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AF0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24A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195.000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8EA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455.000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C6E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175,00%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5A0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0,24%</w:t>
            </w:r>
          </w:p>
        </w:tc>
      </w:tr>
      <w:tr w:rsidR="00317EE3" w:rsidRPr="00317EE3" w14:paraId="77FF35A1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C0D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A1021 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63E7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Poticanje poljoprivrede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86A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D0E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B05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E61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27D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317EE3" w:rsidRPr="00317EE3" w14:paraId="3DF953C5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545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A1021 07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EC12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Projekti poticanja poduzetništva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2D2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1.485.300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11D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-1.485.300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D7B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B3E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09F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317EE3" w:rsidRPr="00317EE3" w14:paraId="7EBD101B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71A7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A1021 08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D946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Turistička promidžba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48D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537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D86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5E3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BDB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317EE3" w:rsidRPr="00317EE3" w14:paraId="0E3DCE29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CFB9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A1021 09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C60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Sufin.cijene prijevoza učenika, studenata i starijih osoba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8C0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E87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399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A64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BE8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317EE3" w:rsidRPr="00317EE3" w14:paraId="689F5E50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A646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A1021 11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D227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EC6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1.110.000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C54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615.000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DB3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1.725.000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8D7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155,41%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DD9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0,90%</w:t>
            </w:r>
          </w:p>
        </w:tc>
      </w:tr>
      <w:tr w:rsidR="00317EE3" w:rsidRPr="00317EE3" w14:paraId="5868152D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E35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K1021 16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1B89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Projekt Skriveni habitati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2BD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332.200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AA9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12.800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6A5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345.000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01B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103,85%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CA6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0,18%</w:t>
            </w:r>
          </w:p>
        </w:tc>
      </w:tr>
      <w:tr w:rsidR="00317EE3" w:rsidRPr="00317EE3" w14:paraId="25A833E4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7A7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T1021 18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C79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Projekt PMO-GATE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5B8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327.600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0CB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-130.600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74F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197.000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BD9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60,13%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F07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0,10%</w:t>
            </w:r>
          </w:p>
        </w:tc>
      </w:tr>
      <w:tr w:rsidR="00317EE3" w:rsidRPr="00317EE3" w14:paraId="75505E51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74D0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T1021 19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383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Projekt UNDERWATER MUSE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4C7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670.700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001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-103.700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8AC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567.000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36D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84,54%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252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0,30%</w:t>
            </w:r>
          </w:p>
        </w:tc>
      </w:tr>
      <w:tr w:rsidR="00317EE3" w:rsidRPr="00317EE3" w14:paraId="3FD4C568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48E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K1021 20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B887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Projekt VALUE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F64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2.189.600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BB9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-1.553.100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18A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636.500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955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29,07%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CA6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0,33%</w:t>
            </w:r>
          </w:p>
        </w:tc>
      </w:tr>
      <w:tr w:rsidR="00317EE3" w:rsidRPr="00317EE3" w14:paraId="41E7301E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0783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T1021 21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1989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Projekt ADRISEISMIC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7AA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732.600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495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-149.600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2F7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583.000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579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79,58%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562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0,31%</w:t>
            </w:r>
          </w:p>
        </w:tc>
      </w:tr>
      <w:tr w:rsidR="00317EE3" w:rsidRPr="00317EE3" w14:paraId="08C58572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B99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T1021 22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2675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Projekt Zaželi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245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1.265.700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865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-1.186.200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4B7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79.500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CCE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6,28%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938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0,04%</w:t>
            </w:r>
          </w:p>
        </w:tc>
      </w:tr>
      <w:tr w:rsidR="00317EE3" w:rsidRPr="00317EE3" w14:paraId="59730093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282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K1021 23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38E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Projekt City Bike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CC1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2.100.000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639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05F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2.100.000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054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6CD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1,10%</w:t>
            </w:r>
          </w:p>
        </w:tc>
      </w:tr>
      <w:tr w:rsidR="00317EE3" w:rsidRPr="00317EE3" w14:paraId="68EFF7A4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DA46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T1021 24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8539" w14:textId="33F6D514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Projekt izvaninstitucionalne skrbi -ITU mehanizmi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B4B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1.150.000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EEF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E70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1.105.000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B51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96,09%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98F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0,58%</w:t>
            </w:r>
          </w:p>
        </w:tc>
      </w:tr>
      <w:tr w:rsidR="00317EE3" w:rsidRPr="00317EE3" w14:paraId="5CDD18BB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413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T1021 25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D7B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Projekt Brownfield Vila Nika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31B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233.800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50C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-166.800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D23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67.000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761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28,66%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5DD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0,04%</w:t>
            </w:r>
          </w:p>
        </w:tc>
      </w:tr>
      <w:tr w:rsidR="00317EE3" w:rsidRPr="00317EE3" w14:paraId="45DBD285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0A96C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P1022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47FA49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IZGRADNJA GRAĐEVINA ZA GOSPODARENJE KOMUNALNIM OTPADOM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5984C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1.800.000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46CFD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9FF18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2.050.000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02798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113,89%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FCF8A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1,07%</w:t>
            </w:r>
          </w:p>
        </w:tc>
      </w:tr>
      <w:tr w:rsidR="00317EE3" w:rsidRPr="00317EE3" w14:paraId="5A46A2AF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067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K1022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EE6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Izgradnja reciklažnog dvorišta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CF5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1.800.000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F6C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FBC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2.050.000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5EA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113,89%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360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1,07%</w:t>
            </w:r>
          </w:p>
        </w:tc>
      </w:tr>
      <w:tr w:rsidR="00317EE3" w:rsidRPr="00317EE3" w14:paraId="621F5F60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DBE71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P1023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3E580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C4784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5.039.500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475DA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-515.500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E01D3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4.524.000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CEA3F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89,77%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764AC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2,37%</w:t>
            </w:r>
          </w:p>
        </w:tc>
      </w:tr>
      <w:tr w:rsidR="00317EE3" w:rsidRPr="00317EE3" w14:paraId="344162E3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D0C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A1023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03A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7DA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4.582.500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606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-300.500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443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4.282.000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6C1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93,44%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945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2,24%</w:t>
            </w:r>
          </w:p>
        </w:tc>
      </w:tr>
      <w:tr w:rsidR="00317EE3" w:rsidRPr="00317EE3" w14:paraId="213BA9DA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686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K1023 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B56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Nabava dugotrajne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E74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457.000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1A2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-215.000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E2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242.000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350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52,95%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074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0,13%</w:t>
            </w:r>
          </w:p>
        </w:tc>
      </w:tr>
      <w:tr w:rsidR="00317EE3" w:rsidRPr="00317EE3" w14:paraId="3DFF134C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EFC420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P1024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43AE6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ZAŠTITA OKOLIŠA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85A64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484F4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152E3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130.000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9A669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59,09%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5DB53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0,07%</w:t>
            </w:r>
          </w:p>
        </w:tc>
      </w:tr>
      <w:tr w:rsidR="00317EE3" w:rsidRPr="00317EE3" w14:paraId="334F5030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1A4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K1024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330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Planovi, karte i ostalo u zaštiti okoliša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D13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EE0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BF2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130.000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3C9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59,09%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A13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0,07%</w:t>
            </w:r>
          </w:p>
        </w:tc>
      </w:tr>
      <w:tr w:rsidR="00317EE3" w:rsidRPr="00317EE3" w14:paraId="57444DAF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C4046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P1025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EA8BE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RAZVOJNA AGENCIJA GRADA KAŠTELA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0639F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1.056.902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EAAE2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-35.902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278D1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1.021.000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5DA34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96,60%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4D731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0,54%</w:t>
            </w:r>
          </w:p>
        </w:tc>
      </w:tr>
      <w:tr w:rsidR="00317EE3" w:rsidRPr="00317EE3" w14:paraId="3EE816B3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0BB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A1025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315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Razvojna agencija Grada Kaštela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D52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1.056.902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57B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-35.902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EEC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1.021.000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412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96,60%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749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0,54%</w:t>
            </w:r>
          </w:p>
        </w:tc>
      </w:tr>
      <w:tr w:rsidR="00317EE3" w:rsidRPr="00317EE3" w14:paraId="148E897E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BBAF0F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P1007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37D115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OSTALO U KOMUNALNOM GOSPODARSTVU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5CC50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5.700.000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008D4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-2.400.000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39539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3.300.000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4947B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57,89%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51DCC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1,73%</w:t>
            </w:r>
          </w:p>
        </w:tc>
      </w:tr>
      <w:tr w:rsidR="00317EE3" w:rsidRPr="00317EE3" w14:paraId="245AA7D5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7526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A1007 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0C7F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Rente i naknade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27D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2.700.000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77A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C26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2.300.000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55D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85,19%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0FB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1,21%</w:t>
            </w:r>
          </w:p>
        </w:tc>
      </w:tr>
      <w:tr w:rsidR="00317EE3" w:rsidRPr="00317EE3" w14:paraId="2F1516EC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6880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A1007 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D356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 "Zeleno i modro" d.o.o.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661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E7C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CD6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0D7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33,33%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2DC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0,52%</w:t>
            </w:r>
          </w:p>
        </w:tc>
      </w:tr>
      <w:tr w:rsidR="00317EE3" w:rsidRPr="00317EE3" w14:paraId="6F1F094E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2DE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A1007 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E745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Subvencije trg. društvima u javnom sektoru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F37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2AC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611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D9A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23D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317EE3" w:rsidRPr="00317EE3" w14:paraId="2EE1291C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B4EE7F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P1020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2E4D0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DJELATNOST VLASTITOG POGONA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4E366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25.017.000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88CE2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-2.948.250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5885E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22.068.750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14E3E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88,22%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78D71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11,57%</w:t>
            </w:r>
          </w:p>
        </w:tc>
      </w:tr>
      <w:tr w:rsidR="00317EE3" w:rsidRPr="00317EE3" w14:paraId="79C2F7A6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EC25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A1020 13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FA2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Održavanje građevina, uređaja i predmeta javne namjene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1C5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580.000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EB7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982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430.000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4BD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74,14%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377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0,23%</w:t>
            </w:r>
          </w:p>
        </w:tc>
      </w:tr>
      <w:tr w:rsidR="00317EE3" w:rsidRPr="00317EE3" w14:paraId="5C4DBDFC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8674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A1020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E063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Redovna djelatnost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246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8.022.000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FF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2.341.750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CB8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10.363.750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A26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129,19%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725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5,43%</w:t>
            </w:r>
          </w:p>
        </w:tc>
      </w:tr>
      <w:tr w:rsidR="00317EE3" w:rsidRPr="00317EE3" w14:paraId="315CFA9B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5DE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A1020 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AD07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Održavanje groblja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C94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785.000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533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C48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735.000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A30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93,63%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DC5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0,39%</w:t>
            </w:r>
          </w:p>
        </w:tc>
      </w:tr>
      <w:tr w:rsidR="00317EE3" w:rsidRPr="00317EE3" w14:paraId="51282397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CFA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A1020 06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B846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Održavanje javne rasvjete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378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3.055.000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6D8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1B0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3.055.000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864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339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1,60%</w:t>
            </w:r>
          </w:p>
        </w:tc>
      </w:tr>
      <w:tr w:rsidR="00317EE3" w:rsidRPr="00317EE3" w14:paraId="28266F10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46F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A1020 08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A69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Obilježavanje ulica i kućnih brojeva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749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3DA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6BD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E84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8E5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0,03%</w:t>
            </w:r>
          </w:p>
        </w:tc>
      </w:tr>
      <w:tr w:rsidR="00317EE3" w:rsidRPr="00317EE3" w14:paraId="483CD28D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7427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A1020 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F6F9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Održavanje sustava za oborinsku odvodnju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A38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290.000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0E5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D2D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290.000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FEA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8BB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0,15%</w:t>
            </w:r>
          </w:p>
        </w:tc>
      </w:tr>
      <w:tr w:rsidR="00317EE3" w:rsidRPr="00317EE3" w14:paraId="2B26AC08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4F7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A1020 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D682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Održavanje javnih  površina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153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10.735.000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A11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-4.790.000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110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5.945.000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F8D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55,38%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1C4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3,12%</w:t>
            </w:r>
          </w:p>
        </w:tc>
      </w:tr>
      <w:tr w:rsidR="00317EE3" w:rsidRPr="00317EE3" w14:paraId="07F89D06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887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A1020 10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5316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Održavanje šumskih i poljskih puteva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579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466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B15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1.200.000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40F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F7B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0,63%</w:t>
            </w:r>
          </w:p>
        </w:tc>
      </w:tr>
      <w:tr w:rsidR="00317EE3" w:rsidRPr="00317EE3" w14:paraId="5B006916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ACABB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44A90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OBAVLJANJE DJELATNOSTI LOKALNOG ZNAČAJA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16578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1.833.000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29916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-688.000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4BC7D9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1.145.000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2A6A1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62,47%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34A73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0,60%</w:t>
            </w:r>
          </w:p>
        </w:tc>
      </w:tr>
      <w:tr w:rsidR="00317EE3" w:rsidRPr="00317EE3" w14:paraId="55708372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44F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A1004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6923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Deratizacija i dezinsekcija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4BA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AA0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5AC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8F4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951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0,29%</w:t>
            </w:r>
          </w:p>
        </w:tc>
      </w:tr>
      <w:tr w:rsidR="00317EE3" w:rsidRPr="00317EE3" w14:paraId="0C7E1722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A26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A1004 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0CA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Zaštita bilja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79C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6F1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638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570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A70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0,10%</w:t>
            </w:r>
          </w:p>
        </w:tc>
      </w:tr>
      <w:tr w:rsidR="00317EE3" w:rsidRPr="00317EE3" w14:paraId="047E302F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276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A1004 03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63A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Veterinarska služba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DC7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1F5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08B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170.000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AE8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113,33%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142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0,09%</w:t>
            </w:r>
          </w:p>
        </w:tc>
      </w:tr>
      <w:tr w:rsidR="00317EE3" w:rsidRPr="00317EE3" w14:paraId="15DA2833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3E22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A1004 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8DF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Financiranje rada skloništa za životinje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3BF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225.000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364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DB7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225.000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563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C6A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0,12%</w:t>
            </w:r>
          </w:p>
        </w:tc>
      </w:tr>
      <w:tr w:rsidR="00317EE3" w:rsidRPr="00317EE3" w14:paraId="13E0367E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F3A2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A1004 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762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Komunalno redarstvo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8A0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708.000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78B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-708.000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015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4B2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34B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317EE3" w:rsidRPr="00317EE3" w14:paraId="66A2AA50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972E9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E3B7F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IZGRADNJA KOMUNALNIH VODNIH GRAĐEVINA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1464E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6.167.000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6FCF4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-867.000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6FBD1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5.300.000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B5332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85,94%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775FC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2,78%</w:t>
            </w:r>
          </w:p>
        </w:tc>
      </w:tr>
      <w:tr w:rsidR="00317EE3" w:rsidRPr="00317EE3" w14:paraId="4734D470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A86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K1005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ACD2" w14:textId="1F59292C" w:rsidR="00317EE3" w:rsidRPr="00A849B2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A849B2">
              <w:rPr>
                <w:rFonts w:cs="Calibri"/>
                <w:strike/>
                <w:color w:val="000000"/>
                <w:sz w:val="16"/>
                <w:szCs w:val="16"/>
                <w:lang w:eastAsia="hr-HR"/>
              </w:rPr>
              <w:t xml:space="preserve">Opskrba pitkom </w:t>
            </w:r>
            <w:r w:rsidRPr="00544317">
              <w:rPr>
                <w:rFonts w:cs="Calibri"/>
                <w:strike/>
                <w:color w:val="000000"/>
                <w:sz w:val="16"/>
                <w:szCs w:val="16"/>
                <w:lang w:eastAsia="hr-HR"/>
              </w:rPr>
              <w:t>vodom</w:t>
            </w:r>
            <w:r w:rsidR="00A849B2" w:rsidRPr="00544317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544317" w:rsidRPr="00544317">
              <w:rPr>
                <w:rFonts w:cs="Calibri"/>
                <w:color w:val="000000"/>
                <w:sz w:val="16"/>
                <w:szCs w:val="16"/>
                <w:lang w:eastAsia="hr-HR"/>
              </w:rPr>
              <w:t>v</w:t>
            </w:r>
            <w:r w:rsidR="00A849B2">
              <w:rPr>
                <w:rFonts w:cs="Calibri"/>
                <w:color w:val="000000"/>
                <w:sz w:val="16"/>
                <w:szCs w:val="16"/>
                <w:lang w:eastAsia="hr-HR"/>
              </w:rPr>
              <w:t>odoopskrba i odvodnja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C49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5.967.000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8A1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-667.000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39A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5.300.000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407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88,82%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06C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2,78%</w:t>
            </w:r>
          </w:p>
        </w:tc>
      </w:tr>
      <w:tr w:rsidR="00317EE3" w:rsidRPr="00317EE3" w14:paraId="09DEC9D7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A5D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K1005 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7BE0" w14:textId="77777777" w:rsidR="00317EE3" w:rsidRPr="00A849B2" w:rsidRDefault="00317EE3" w:rsidP="00317EE3">
            <w:pPr>
              <w:spacing w:after="0" w:line="240" w:lineRule="auto"/>
              <w:rPr>
                <w:rFonts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849B2">
              <w:rPr>
                <w:rFonts w:cs="Calibri"/>
                <w:strike/>
                <w:color w:val="000000"/>
                <w:sz w:val="16"/>
                <w:szCs w:val="16"/>
                <w:lang w:eastAsia="hr-HR"/>
              </w:rPr>
              <w:t>Odvodnja i pročišćavanja voda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3ED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226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01A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C9B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A3E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317EE3" w:rsidRPr="00317EE3" w14:paraId="7852ACA0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F1F18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P1010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CCB41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GOSPODARENJE GRADSKOM IMOVINOM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26D37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27.130.010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8A692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-21.740.010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F09B2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5.390.000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7C80B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19,87%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6358C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2,83%</w:t>
            </w:r>
          </w:p>
        </w:tc>
      </w:tr>
      <w:tr w:rsidR="00317EE3" w:rsidRPr="00317EE3" w14:paraId="1AAA6025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7582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A1010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A79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Upravljanje poslovnim i stambenim prostorima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EC0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1.160.000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B90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-1.055.000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743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50C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9,05%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94B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0,06%</w:t>
            </w:r>
          </w:p>
        </w:tc>
      </w:tr>
      <w:tr w:rsidR="00317EE3" w:rsidRPr="00317EE3" w14:paraId="46006FEA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2F8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A1010 03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1256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Održavanje poslovnih i stambenih prostora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261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285.000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FB3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E90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285.000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D9E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52A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0,15%</w:t>
            </w:r>
          </w:p>
        </w:tc>
      </w:tr>
      <w:tr w:rsidR="00317EE3" w:rsidRPr="00317EE3" w14:paraId="68CF6733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341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K1010 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D05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Izgradnja gradskih objekata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8B7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3.650.000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3E7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BDE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4.100.000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991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112,33%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CE5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2,15%</w:t>
            </w:r>
          </w:p>
        </w:tc>
      </w:tr>
      <w:tr w:rsidR="00317EE3" w:rsidRPr="00317EE3" w14:paraId="318C44BB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102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A1010 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89D4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Priprema zemljišta i zaštita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710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22.035.010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837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-21.135.010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6FB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2A6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4,08%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B61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0,47%</w:t>
            </w:r>
          </w:p>
        </w:tc>
      </w:tr>
      <w:tr w:rsidR="00317EE3" w:rsidRPr="00317EE3" w14:paraId="3D4B2DDD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35927F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P1019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4206C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EKONOMSKI POSLOVI KOJI NISU DRUGDJE SVRSTANI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0BB94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4.935.000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CF5AE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-1.515.000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DEB9F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3.420.000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910A1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69,30%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3D6B5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1,79%</w:t>
            </w:r>
          </w:p>
        </w:tc>
      </w:tr>
      <w:tr w:rsidR="00317EE3" w:rsidRPr="00317EE3" w14:paraId="1D6B0C66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418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A1019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2531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Dodjela stipendija učenicima i studentima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D5B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1.020.000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A72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180.000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4CF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1.200.000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9CF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117,65%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247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0,63%</w:t>
            </w:r>
          </w:p>
        </w:tc>
      </w:tr>
      <w:tr w:rsidR="00317EE3" w:rsidRPr="00317EE3" w14:paraId="55F52BA3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5682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A1019 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8E92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Pomoć zdravstvenim institucijama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4C9B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C0C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96C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BC7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E95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0,03%</w:t>
            </w:r>
          </w:p>
        </w:tc>
      </w:tr>
      <w:tr w:rsidR="00317EE3" w:rsidRPr="00317EE3" w14:paraId="573E27FE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F56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A1019 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BE40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Pomoć školama i institucijama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4F7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1.020.000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E37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38D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1.020.000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ABA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292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0,53%</w:t>
            </w:r>
          </w:p>
        </w:tc>
      </w:tr>
      <w:tr w:rsidR="00317EE3" w:rsidRPr="00317EE3" w14:paraId="270F5F7C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1F2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A1019 03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F9E2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Pomoć vjerskim zajednicama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F6F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485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F1D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D25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3CC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0,03%</w:t>
            </w:r>
          </w:p>
        </w:tc>
      </w:tr>
      <w:tr w:rsidR="00317EE3" w:rsidRPr="00317EE3" w14:paraId="01BE597A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CC93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A1019 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E38A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Pomoć udrugama građana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118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450.000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482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082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450.000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DAC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5A7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0,24%</w:t>
            </w:r>
          </w:p>
        </w:tc>
      </w:tr>
      <w:tr w:rsidR="00317EE3" w:rsidRPr="00317EE3" w14:paraId="74945042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482D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K1019 06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E2A8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1E9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2.345.000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A09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-1.695.000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963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650.000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B1E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27,72%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A0A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0,34%</w:t>
            </w:r>
          </w:p>
        </w:tc>
      </w:tr>
      <w:tr w:rsidR="00317EE3" w:rsidRPr="00317EE3" w14:paraId="67AB2550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D7E963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P1026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216D16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OBAVLJANJE DJELATNOSTI LOKALNOG ZNAČAJA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628AA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6F1D0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708.000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BABF3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708.000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4650A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9044C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0,37%</w:t>
            </w:r>
          </w:p>
        </w:tc>
      </w:tr>
      <w:tr w:rsidR="00317EE3" w:rsidRPr="00317EE3" w14:paraId="18D16A16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4F8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A1026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6D65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Komunalno redarstvo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BD1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0FD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708.000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A2D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708.000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1C1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07A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0,37%</w:t>
            </w:r>
          </w:p>
        </w:tc>
      </w:tr>
      <w:tr w:rsidR="00317EE3" w:rsidRPr="00317EE3" w14:paraId="1262DA8C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DF8E5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P1027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651405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AKTIVNOSTI IZ PODRUČJA GOSPODARSTVA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BDF14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DE65E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4.750.000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F7DD0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4.750.000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E64EE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6D97B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2,49%</w:t>
            </w:r>
          </w:p>
        </w:tc>
      </w:tr>
      <w:tr w:rsidR="00317EE3" w:rsidRPr="00317EE3" w14:paraId="56D7E7E0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D8C4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A1027 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C1F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Poticanje poljoprivrede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678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08AC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808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B74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D89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317EE3" w:rsidRPr="00317EE3" w14:paraId="11317A32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54D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A1027 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8FF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Projekti poticanja poduzetništva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6708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3F0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ADF6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75A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80B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0,26%</w:t>
            </w:r>
          </w:p>
        </w:tc>
      </w:tr>
      <w:tr w:rsidR="00317EE3" w:rsidRPr="00317EE3" w14:paraId="6D7FAB66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8CDB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A1027 03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8C57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Turistička promidžba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DD31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76BF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3DF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695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764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317EE3" w:rsidRPr="00317EE3" w14:paraId="4052FFDC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57B2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A1027 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3A60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Sufinan. cijene prijevoza učenika, studenata i starijih osoba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789A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6C0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6E2E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B24D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1AC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1,57%</w:t>
            </w:r>
          </w:p>
        </w:tc>
      </w:tr>
      <w:tr w:rsidR="00317EE3" w:rsidRPr="00317EE3" w14:paraId="28F4C17C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8445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K1027 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33BE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Sufinanciranje nabave autobusa i ticketinga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D05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B562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1.050.000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3C4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1.050.000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5B29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3F43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color w:val="000000"/>
                <w:sz w:val="16"/>
                <w:szCs w:val="16"/>
                <w:lang w:eastAsia="hr-HR"/>
              </w:rPr>
              <w:t>0,55%</w:t>
            </w:r>
          </w:p>
        </w:tc>
      </w:tr>
      <w:tr w:rsidR="00317EE3" w:rsidRPr="00317EE3" w14:paraId="4D749FB8" w14:textId="77777777" w:rsidTr="00317EE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AF8B36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7C764C" w14:textId="77777777" w:rsidR="00317EE3" w:rsidRPr="00317EE3" w:rsidRDefault="00317EE3" w:rsidP="00317EE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b/>
                <w:bCs/>
                <w:sz w:val="16"/>
                <w:szCs w:val="16"/>
                <w:lang w:eastAsia="hr-HR"/>
              </w:rPr>
              <w:t>SUMA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D34017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b/>
                <w:bCs/>
                <w:sz w:val="16"/>
                <w:szCs w:val="16"/>
                <w:lang w:eastAsia="hr-HR"/>
              </w:rPr>
              <w:t>231.218.015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4E7D3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b/>
                <w:bCs/>
                <w:sz w:val="16"/>
                <w:szCs w:val="16"/>
                <w:lang w:eastAsia="hr-HR"/>
              </w:rPr>
              <w:t>-40.471.365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B2645B4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b/>
                <w:bCs/>
                <w:sz w:val="16"/>
                <w:szCs w:val="16"/>
                <w:lang w:eastAsia="hr-HR"/>
              </w:rPr>
              <w:t>190.746.650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64CD000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b/>
                <w:bCs/>
                <w:sz w:val="16"/>
                <w:szCs w:val="16"/>
                <w:lang w:eastAsia="hr-HR"/>
              </w:rPr>
              <w:t>82,50%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D46005" w14:textId="77777777" w:rsidR="00317EE3" w:rsidRPr="00317EE3" w:rsidRDefault="00317EE3" w:rsidP="00317EE3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317EE3">
              <w:rPr>
                <w:rFonts w:cs="Calibri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</w:tbl>
    <w:p w14:paraId="5E24D964" w14:textId="46B4B775" w:rsidR="00794994" w:rsidRPr="00317EE3" w:rsidRDefault="0079499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16"/>
          <w:szCs w:val="16"/>
        </w:rPr>
      </w:pPr>
    </w:p>
    <w:p w14:paraId="1DEECD16" w14:textId="77777777" w:rsidR="00794994" w:rsidRDefault="0079499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0C9568FC" w14:textId="5AE94D42" w:rsidR="00794994" w:rsidRDefault="0079499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77DB45A1" w14:textId="131C6842" w:rsidR="00B36B24" w:rsidRDefault="00B36B2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B36B24">
        <w:rPr>
          <w:rFonts w:asciiTheme="minorHAnsi" w:eastAsiaTheme="minorHAnsi" w:hAnsiTheme="minorHAnsi"/>
          <w:sz w:val="24"/>
          <w:szCs w:val="24"/>
        </w:rPr>
        <w:t>P1001</w:t>
      </w:r>
      <w:r w:rsidRPr="00B36B24">
        <w:rPr>
          <w:rFonts w:asciiTheme="minorHAnsi" w:eastAsiaTheme="minorHAnsi" w:hAnsiTheme="minorHAnsi"/>
          <w:sz w:val="24"/>
          <w:szCs w:val="24"/>
        </w:rPr>
        <w:tab/>
        <w:t>RAD PREDSTAVNIČKOG I  IZVRŠNOG TIJELA</w:t>
      </w:r>
    </w:p>
    <w:p w14:paraId="4345C248" w14:textId="7DA4394F" w:rsidR="00794994" w:rsidRDefault="004A1AE0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 xml:space="preserve">Ovaj program vodi se u </w:t>
      </w:r>
      <w:r w:rsidR="00806DA5" w:rsidRPr="00806DA5">
        <w:rPr>
          <w:rFonts w:asciiTheme="minorHAnsi" w:eastAsiaTheme="minorHAnsi" w:hAnsiTheme="minorHAnsi"/>
          <w:sz w:val="24"/>
          <w:szCs w:val="24"/>
        </w:rPr>
        <w:t>Upravn</w:t>
      </w:r>
      <w:r>
        <w:rPr>
          <w:rFonts w:asciiTheme="minorHAnsi" w:eastAsiaTheme="minorHAnsi" w:hAnsiTheme="minorHAnsi"/>
          <w:sz w:val="24"/>
          <w:szCs w:val="24"/>
        </w:rPr>
        <w:t>om</w:t>
      </w:r>
      <w:r w:rsidR="00806DA5" w:rsidRPr="00806DA5">
        <w:rPr>
          <w:rFonts w:asciiTheme="minorHAnsi" w:eastAsiaTheme="minorHAnsi" w:hAnsiTheme="minorHAnsi"/>
          <w:sz w:val="24"/>
          <w:szCs w:val="24"/>
        </w:rPr>
        <w:t xml:space="preserve"> odjel</w:t>
      </w:r>
      <w:r>
        <w:rPr>
          <w:rFonts w:asciiTheme="minorHAnsi" w:eastAsiaTheme="minorHAnsi" w:hAnsiTheme="minorHAnsi"/>
          <w:sz w:val="24"/>
          <w:szCs w:val="24"/>
        </w:rPr>
        <w:t>e</w:t>
      </w:r>
      <w:r w:rsidR="00806DA5" w:rsidRPr="00806DA5">
        <w:rPr>
          <w:rFonts w:asciiTheme="minorHAnsi" w:eastAsiaTheme="minorHAnsi" w:hAnsiTheme="minorHAnsi"/>
          <w:sz w:val="24"/>
          <w:szCs w:val="24"/>
        </w:rPr>
        <w:t xml:space="preserve"> za poslove Gradonačelnika i stručne poslove</w:t>
      </w:r>
      <w:r w:rsidR="00806DA5">
        <w:rPr>
          <w:rFonts w:asciiTheme="minorHAnsi" w:eastAsiaTheme="minorHAnsi" w:hAnsi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/>
          <w:sz w:val="24"/>
          <w:szCs w:val="24"/>
        </w:rPr>
        <w:t xml:space="preserve">koji </w:t>
      </w:r>
      <w:r w:rsidR="00806DA5">
        <w:rPr>
          <w:rFonts w:asciiTheme="minorHAnsi" w:eastAsiaTheme="minorHAnsi" w:hAnsiTheme="minorHAnsi"/>
          <w:sz w:val="24"/>
          <w:szCs w:val="24"/>
        </w:rPr>
        <w:t>preuzima poslove informatike koji su se prije vodili u Upravnom odjelu za financije, proračun i javnu nabavu pa se slijedom toga i stavke proračuna za informatičke usluge prebacuju u taj odjel</w:t>
      </w:r>
      <w:r w:rsidR="00B36B24">
        <w:rPr>
          <w:rFonts w:asciiTheme="minorHAnsi" w:eastAsiaTheme="minorHAnsi" w:hAnsiTheme="minorHAnsi"/>
          <w:sz w:val="24"/>
          <w:szCs w:val="24"/>
        </w:rPr>
        <w:t xml:space="preserve"> pod program </w:t>
      </w:r>
    </w:p>
    <w:p w14:paraId="41FAD995" w14:textId="4F7A0ECE" w:rsidR="00806DA5" w:rsidRDefault="00806DA5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17E66448" w14:textId="77777777" w:rsidR="005E6A4B" w:rsidRDefault="005E6A4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1896E156" w14:textId="0424EEB6" w:rsidR="00806DA5" w:rsidRPr="005563FB" w:rsidRDefault="00B36B2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B36B24">
        <w:rPr>
          <w:rFonts w:asciiTheme="minorHAnsi" w:eastAsiaTheme="minorHAnsi" w:hAnsiTheme="minorHAnsi"/>
          <w:sz w:val="24"/>
          <w:szCs w:val="24"/>
        </w:rPr>
        <w:t>P1002</w:t>
      </w:r>
      <w:r w:rsidRPr="00B36B24">
        <w:rPr>
          <w:rFonts w:asciiTheme="minorHAnsi" w:eastAsiaTheme="minorHAnsi" w:hAnsiTheme="minorHAnsi"/>
          <w:sz w:val="24"/>
          <w:szCs w:val="24"/>
        </w:rPr>
        <w:tab/>
        <w:t>JAVNA UPRAVA I ADMINISTRACIJA</w:t>
      </w:r>
    </w:p>
    <w:p w14:paraId="003F8FE1" w14:textId="1D6F7A5A" w:rsidR="00806DA5" w:rsidRDefault="004A1AE0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 xml:space="preserve">Program se vodi u </w:t>
      </w:r>
      <w:r w:rsidR="00B36B24" w:rsidRPr="00B36B24">
        <w:rPr>
          <w:rFonts w:asciiTheme="minorHAnsi" w:eastAsiaTheme="minorHAnsi" w:hAnsiTheme="minorHAnsi"/>
          <w:sz w:val="24"/>
          <w:szCs w:val="24"/>
        </w:rPr>
        <w:t>Upravn</w:t>
      </w:r>
      <w:r>
        <w:rPr>
          <w:rFonts w:asciiTheme="minorHAnsi" w:eastAsiaTheme="minorHAnsi" w:hAnsiTheme="minorHAnsi"/>
          <w:sz w:val="24"/>
          <w:szCs w:val="24"/>
        </w:rPr>
        <w:t>om</w:t>
      </w:r>
      <w:r w:rsidR="00B36B24" w:rsidRPr="00B36B24">
        <w:rPr>
          <w:rFonts w:asciiTheme="minorHAnsi" w:eastAsiaTheme="minorHAnsi" w:hAnsiTheme="minorHAnsi"/>
          <w:sz w:val="24"/>
          <w:szCs w:val="24"/>
        </w:rPr>
        <w:t xml:space="preserve"> odjel</w:t>
      </w:r>
      <w:r>
        <w:rPr>
          <w:rFonts w:asciiTheme="minorHAnsi" w:eastAsiaTheme="minorHAnsi" w:hAnsiTheme="minorHAnsi"/>
          <w:sz w:val="24"/>
          <w:szCs w:val="24"/>
        </w:rPr>
        <w:t>u</w:t>
      </w:r>
      <w:r w:rsidR="00B36B24" w:rsidRPr="00B36B24">
        <w:rPr>
          <w:rFonts w:asciiTheme="minorHAnsi" w:eastAsiaTheme="minorHAnsi" w:hAnsiTheme="minorHAnsi"/>
          <w:sz w:val="24"/>
          <w:szCs w:val="24"/>
        </w:rPr>
        <w:t xml:space="preserve"> za financije, javnu nabavu i naplatu prihoda</w:t>
      </w:r>
      <w:r>
        <w:rPr>
          <w:rFonts w:asciiTheme="minorHAnsi" w:eastAsiaTheme="minorHAnsi" w:hAnsiTheme="minorHAnsi"/>
          <w:sz w:val="24"/>
          <w:szCs w:val="24"/>
        </w:rPr>
        <w:t xml:space="preserve"> a iznos se , o</w:t>
      </w:r>
      <w:r w:rsidR="00544317">
        <w:rPr>
          <w:rFonts w:asciiTheme="minorHAnsi" w:eastAsiaTheme="minorHAnsi" w:hAnsiTheme="minorHAnsi"/>
          <w:sz w:val="24"/>
          <w:szCs w:val="24"/>
        </w:rPr>
        <w:t>s</w:t>
      </w:r>
      <w:r>
        <w:rPr>
          <w:rFonts w:asciiTheme="minorHAnsi" w:eastAsiaTheme="minorHAnsi" w:hAnsiTheme="minorHAnsi"/>
          <w:sz w:val="24"/>
          <w:szCs w:val="24"/>
        </w:rPr>
        <w:t xml:space="preserve">im zbog informatičkih rashoda, smanjuje i zbog manjih financijskih rashoda odnosno povrata zajmova prema državi koje smo dobili zbog </w:t>
      </w:r>
      <w:r w:rsidR="00544317">
        <w:rPr>
          <w:rFonts w:asciiTheme="minorHAnsi" w:eastAsiaTheme="minorHAnsi" w:hAnsiTheme="minorHAnsi"/>
          <w:sz w:val="24"/>
          <w:szCs w:val="24"/>
        </w:rPr>
        <w:t>premošćivanja</w:t>
      </w:r>
      <w:r>
        <w:rPr>
          <w:rFonts w:asciiTheme="minorHAnsi" w:eastAsiaTheme="minorHAnsi" w:hAnsiTheme="minorHAnsi"/>
          <w:sz w:val="24"/>
          <w:szCs w:val="24"/>
        </w:rPr>
        <w:t xml:space="preserve"> smanjenih rashoda uzrokovanih pandemijom Covid-19.</w:t>
      </w:r>
    </w:p>
    <w:p w14:paraId="617ACFBA" w14:textId="3F7FEDE9" w:rsidR="00B36B24" w:rsidRDefault="00B36B2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6904EDBA" w14:textId="77777777" w:rsidR="005E6A4B" w:rsidRDefault="005E6A4B" w:rsidP="00F516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4C75BF8E" w14:textId="7CA1DF6A" w:rsidR="00F516E8" w:rsidRPr="00F516E8" w:rsidRDefault="00F516E8" w:rsidP="00F516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F516E8">
        <w:rPr>
          <w:rFonts w:asciiTheme="minorHAnsi" w:eastAsiaTheme="minorHAnsi" w:hAnsiTheme="minorHAnsi"/>
          <w:sz w:val="24"/>
          <w:szCs w:val="24"/>
        </w:rPr>
        <w:t>P1003</w:t>
      </w:r>
      <w:r w:rsidRPr="00F516E8">
        <w:rPr>
          <w:rFonts w:asciiTheme="minorHAnsi" w:eastAsiaTheme="minorHAnsi" w:hAnsiTheme="minorHAnsi"/>
          <w:sz w:val="24"/>
          <w:szCs w:val="24"/>
        </w:rPr>
        <w:tab/>
        <w:t>ODRŽAVANJE KOMUNALNE INFRASTRUKTURE</w:t>
      </w:r>
    </w:p>
    <w:p w14:paraId="29D6C73B" w14:textId="5C428C37" w:rsidR="00B36B24" w:rsidRDefault="00F516E8" w:rsidP="00F516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F516E8">
        <w:rPr>
          <w:rFonts w:asciiTheme="minorHAnsi" w:eastAsiaTheme="minorHAnsi" w:hAnsiTheme="minorHAnsi"/>
          <w:sz w:val="24"/>
          <w:szCs w:val="24"/>
        </w:rPr>
        <w:t>P1006</w:t>
      </w:r>
      <w:r w:rsidRPr="00F516E8">
        <w:rPr>
          <w:rFonts w:asciiTheme="minorHAnsi" w:eastAsiaTheme="minorHAnsi" w:hAnsiTheme="minorHAnsi"/>
          <w:sz w:val="24"/>
          <w:szCs w:val="24"/>
        </w:rPr>
        <w:tab/>
        <w:t>IZGRADNJA KOMUNALNE INFRASTRUKTURE</w:t>
      </w:r>
    </w:p>
    <w:p w14:paraId="2D6DFFBE" w14:textId="3C49FC65" w:rsidR="00806DA5" w:rsidRDefault="00F516E8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F516E8">
        <w:rPr>
          <w:rFonts w:asciiTheme="minorHAnsi" w:eastAsiaTheme="minorHAnsi" w:hAnsiTheme="minorHAnsi"/>
          <w:sz w:val="24"/>
          <w:szCs w:val="24"/>
        </w:rPr>
        <w:t>P1022</w:t>
      </w:r>
      <w:r w:rsidRPr="00F516E8">
        <w:rPr>
          <w:rFonts w:asciiTheme="minorHAnsi" w:eastAsiaTheme="minorHAnsi" w:hAnsiTheme="minorHAnsi"/>
          <w:sz w:val="24"/>
          <w:szCs w:val="24"/>
        </w:rPr>
        <w:tab/>
        <w:t>IZGRADNJA GRAĐEVINA ZA GOSPODARENJE KOMUNALNIM OTPADOM</w:t>
      </w:r>
    </w:p>
    <w:p w14:paraId="7D647E09" w14:textId="4DFAFA33" w:rsidR="00F516E8" w:rsidRDefault="00F516E8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F516E8">
        <w:rPr>
          <w:rFonts w:asciiTheme="minorHAnsi" w:eastAsiaTheme="minorHAnsi" w:hAnsiTheme="minorHAnsi"/>
          <w:sz w:val="24"/>
          <w:szCs w:val="24"/>
        </w:rPr>
        <w:t>P1010</w:t>
      </w:r>
      <w:r w:rsidRPr="00F516E8">
        <w:rPr>
          <w:rFonts w:asciiTheme="minorHAnsi" w:eastAsiaTheme="minorHAnsi" w:hAnsiTheme="minorHAnsi"/>
          <w:sz w:val="24"/>
          <w:szCs w:val="24"/>
        </w:rPr>
        <w:tab/>
        <w:t>GOSPODARENJE GRADSKOM IMOVINOM</w:t>
      </w:r>
    </w:p>
    <w:p w14:paraId="39863F1D" w14:textId="291D56C3" w:rsidR="00F516E8" w:rsidRDefault="00E622DD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E622DD">
        <w:rPr>
          <w:rFonts w:asciiTheme="minorHAnsi" w:eastAsiaTheme="minorHAnsi" w:hAnsiTheme="minorHAnsi"/>
          <w:sz w:val="24"/>
          <w:szCs w:val="24"/>
        </w:rPr>
        <w:t>P1005</w:t>
      </w:r>
      <w:r w:rsidRPr="00E622DD">
        <w:rPr>
          <w:rFonts w:asciiTheme="minorHAnsi" w:eastAsiaTheme="minorHAnsi" w:hAnsiTheme="minorHAnsi"/>
          <w:sz w:val="24"/>
          <w:szCs w:val="24"/>
        </w:rPr>
        <w:tab/>
        <w:t>IZGRADNJA KOMUNALNIH VODNIH GRAĐEVINA</w:t>
      </w:r>
    </w:p>
    <w:p w14:paraId="0FDC28E7" w14:textId="33C1B3D9" w:rsidR="00F65564" w:rsidRDefault="00F6556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Ov</w:t>
      </w:r>
      <w:r w:rsidR="00E622DD">
        <w:rPr>
          <w:rFonts w:asciiTheme="minorHAnsi" w:eastAsiaTheme="minorHAnsi" w:hAnsiTheme="minorHAnsi"/>
          <w:sz w:val="24"/>
          <w:szCs w:val="24"/>
        </w:rPr>
        <w:t>ih pet</w:t>
      </w:r>
      <w:r>
        <w:rPr>
          <w:rFonts w:asciiTheme="minorHAnsi" w:eastAsiaTheme="minorHAnsi" w:hAnsiTheme="minorHAnsi"/>
          <w:sz w:val="24"/>
          <w:szCs w:val="24"/>
        </w:rPr>
        <w:t xml:space="preserve"> navedena programa provode se kroz </w:t>
      </w:r>
      <w:r w:rsidRPr="00F65564">
        <w:rPr>
          <w:rFonts w:asciiTheme="minorHAnsi" w:eastAsiaTheme="minorHAnsi" w:hAnsiTheme="minorHAnsi"/>
          <w:sz w:val="24"/>
          <w:szCs w:val="24"/>
        </w:rPr>
        <w:t>Upravni odjel za komunalno gospodarstvo i imovinu</w:t>
      </w:r>
      <w:r>
        <w:rPr>
          <w:rFonts w:asciiTheme="minorHAnsi" w:eastAsiaTheme="minorHAnsi" w:hAnsiTheme="minorHAnsi"/>
          <w:sz w:val="24"/>
          <w:szCs w:val="24"/>
        </w:rPr>
        <w:t xml:space="preserve"> te će isti biti obrazloženi kroz programe upravnog odjela.</w:t>
      </w:r>
    </w:p>
    <w:p w14:paraId="25A4008D" w14:textId="1FB5E2CA" w:rsidR="00F65564" w:rsidRDefault="00F6556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708248D0" w14:textId="77777777" w:rsidR="005E6A4B" w:rsidRDefault="005E6A4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1FCA1063" w14:textId="7D20DB19" w:rsidR="00F65564" w:rsidRDefault="00F6556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F65564">
        <w:rPr>
          <w:rFonts w:asciiTheme="minorHAnsi" w:eastAsiaTheme="minorHAnsi" w:hAnsiTheme="minorHAnsi"/>
          <w:sz w:val="24"/>
          <w:szCs w:val="24"/>
        </w:rPr>
        <w:t>P1026</w:t>
      </w:r>
      <w:r w:rsidRPr="00F65564">
        <w:rPr>
          <w:rFonts w:asciiTheme="minorHAnsi" w:eastAsiaTheme="minorHAnsi" w:hAnsiTheme="minorHAnsi"/>
          <w:sz w:val="24"/>
          <w:szCs w:val="24"/>
        </w:rPr>
        <w:tab/>
        <w:t>OBAVLJANJE DJELATNOSTI LOKALNOG ZNAČAJA</w:t>
      </w:r>
    </w:p>
    <w:p w14:paraId="227A2138" w14:textId="61490B8E" w:rsidR="00F65564" w:rsidRDefault="00F6556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F65564">
        <w:rPr>
          <w:rFonts w:asciiTheme="minorHAnsi" w:eastAsiaTheme="minorHAnsi" w:hAnsiTheme="minorHAnsi"/>
          <w:sz w:val="24"/>
          <w:szCs w:val="24"/>
        </w:rPr>
        <w:t>P1007</w:t>
      </w:r>
      <w:r w:rsidRPr="00F65564">
        <w:rPr>
          <w:rFonts w:asciiTheme="minorHAnsi" w:eastAsiaTheme="minorHAnsi" w:hAnsiTheme="minorHAnsi"/>
          <w:sz w:val="24"/>
          <w:szCs w:val="24"/>
        </w:rPr>
        <w:tab/>
        <w:t>OSTALO U KOMUNALNOM GOSPODARSTVU</w:t>
      </w:r>
    </w:p>
    <w:p w14:paraId="43ED89DA" w14:textId="16D1A24B" w:rsidR="00F516E8" w:rsidRDefault="00F6556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F65564">
        <w:rPr>
          <w:rFonts w:asciiTheme="minorHAnsi" w:eastAsiaTheme="minorHAnsi" w:hAnsiTheme="minorHAnsi"/>
          <w:sz w:val="24"/>
          <w:szCs w:val="24"/>
        </w:rPr>
        <w:t>P1004</w:t>
      </w:r>
      <w:r w:rsidRPr="00F65564">
        <w:rPr>
          <w:rFonts w:asciiTheme="minorHAnsi" w:eastAsiaTheme="minorHAnsi" w:hAnsiTheme="minorHAnsi"/>
          <w:sz w:val="24"/>
          <w:szCs w:val="24"/>
        </w:rPr>
        <w:tab/>
        <w:t>OBAVLJANJE DJELATNOSTI LOKALNOG ZNAČAJA</w:t>
      </w:r>
    </w:p>
    <w:p w14:paraId="26265683" w14:textId="314EC5DB" w:rsidR="00F516E8" w:rsidRDefault="00F6556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F65564">
        <w:rPr>
          <w:rFonts w:asciiTheme="minorHAnsi" w:eastAsiaTheme="minorHAnsi" w:hAnsiTheme="minorHAnsi"/>
          <w:sz w:val="24"/>
          <w:szCs w:val="24"/>
        </w:rPr>
        <w:t>P1021</w:t>
      </w:r>
      <w:r w:rsidRPr="00F65564">
        <w:rPr>
          <w:rFonts w:asciiTheme="minorHAnsi" w:eastAsiaTheme="minorHAnsi" w:hAnsiTheme="minorHAnsi"/>
          <w:sz w:val="24"/>
          <w:szCs w:val="24"/>
        </w:rPr>
        <w:tab/>
        <w:t>AKTIVNOSTI IZ PODRUČJA GOSPODARSTVA I EU FONDOVA</w:t>
      </w:r>
    </w:p>
    <w:p w14:paraId="336786C6" w14:textId="659642E4" w:rsidR="00F516E8" w:rsidRDefault="00F6556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F65564">
        <w:rPr>
          <w:rFonts w:asciiTheme="minorHAnsi" w:eastAsiaTheme="minorHAnsi" w:hAnsiTheme="minorHAnsi"/>
          <w:sz w:val="24"/>
          <w:szCs w:val="24"/>
        </w:rPr>
        <w:t>P1025</w:t>
      </w:r>
      <w:r w:rsidRPr="00F65564">
        <w:rPr>
          <w:rFonts w:asciiTheme="minorHAnsi" w:eastAsiaTheme="minorHAnsi" w:hAnsiTheme="minorHAnsi"/>
          <w:sz w:val="24"/>
          <w:szCs w:val="24"/>
        </w:rPr>
        <w:tab/>
        <w:t>RAZVOJNA AGENCIJA GRADA KAŠTELA</w:t>
      </w:r>
    </w:p>
    <w:p w14:paraId="50910CAE" w14:textId="77022907" w:rsidR="00E622DD" w:rsidRDefault="008953E5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8953E5">
        <w:rPr>
          <w:rFonts w:asciiTheme="minorHAnsi" w:eastAsiaTheme="minorHAnsi" w:hAnsiTheme="minorHAnsi"/>
          <w:sz w:val="24"/>
          <w:szCs w:val="24"/>
        </w:rPr>
        <w:t>P1021</w:t>
      </w:r>
      <w:r w:rsidRPr="008953E5">
        <w:rPr>
          <w:rFonts w:asciiTheme="minorHAnsi" w:eastAsiaTheme="minorHAnsi" w:hAnsiTheme="minorHAnsi"/>
          <w:sz w:val="24"/>
          <w:szCs w:val="24"/>
        </w:rPr>
        <w:tab/>
        <w:t>EU FONDOV</w:t>
      </w:r>
      <w:r>
        <w:rPr>
          <w:rFonts w:asciiTheme="minorHAnsi" w:eastAsiaTheme="minorHAnsi" w:hAnsiTheme="minorHAnsi"/>
          <w:sz w:val="24"/>
          <w:szCs w:val="24"/>
        </w:rPr>
        <w:t>I</w:t>
      </w:r>
    </w:p>
    <w:p w14:paraId="28C9F8A0" w14:textId="0E86C421" w:rsidR="00F65564" w:rsidRDefault="00F65564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 xml:space="preserve">Ovih </w:t>
      </w:r>
      <w:r w:rsidR="008953E5">
        <w:rPr>
          <w:rFonts w:asciiTheme="minorHAnsi" w:eastAsiaTheme="minorHAnsi" w:hAnsiTheme="minorHAnsi"/>
          <w:sz w:val="24"/>
          <w:szCs w:val="24"/>
        </w:rPr>
        <w:t>šest</w:t>
      </w:r>
      <w:r>
        <w:rPr>
          <w:rFonts w:asciiTheme="minorHAnsi" w:eastAsiaTheme="minorHAnsi" w:hAnsiTheme="minorHAnsi"/>
          <w:sz w:val="24"/>
          <w:szCs w:val="24"/>
        </w:rPr>
        <w:t xml:space="preserve"> programa provodi se pod novoosnovanim </w:t>
      </w:r>
      <w:r w:rsidRPr="00F65564">
        <w:rPr>
          <w:rFonts w:asciiTheme="minorHAnsi" w:eastAsiaTheme="minorHAnsi" w:hAnsiTheme="minorHAnsi"/>
          <w:sz w:val="24"/>
          <w:szCs w:val="24"/>
        </w:rPr>
        <w:t>Upravn</w:t>
      </w:r>
      <w:r w:rsidR="00AD6EBE">
        <w:rPr>
          <w:rFonts w:asciiTheme="minorHAnsi" w:eastAsiaTheme="minorHAnsi" w:hAnsiTheme="minorHAnsi"/>
          <w:sz w:val="24"/>
          <w:szCs w:val="24"/>
        </w:rPr>
        <w:t>i</w:t>
      </w:r>
      <w:r>
        <w:rPr>
          <w:rFonts w:asciiTheme="minorHAnsi" w:eastAsiaTheme="minorHAnsi" w:hAnsiTheme="minorHAnsi"/>
          <w:sz w:val="24"/>
          <w:szCs w:val="24"/>
        </w:rPr>
        <w:t>m</w:t>
      </w:r>
      <w:r w:rsidRPr="00F65564">
        <w:rPr>
          <w:rFonts w:asciiTheme="minorHAnsi" w:eastAsiaTheme="minorHAnsi" w:hAnsiTheme="minorHAnsi"/>
          <w:sz w:val="24"/>
          <w:szCs w:val="24"/>
        </w:rPr>
        <w:t xml:space="preserve"> odjel</w:t>
      </w:r>
      <w:r>
        <w:rPr>
          <w:rFonts w:asciiTheme="minorHAnsi" w:eastAsiaTheme="minorHAnsi" w:hAnsiTheme="minorHAnsi"/>
          <w:sz w:val="24"/>
          <w:szCs w:val="24"/>
        </w:rPr>
        <w:t>om</w:t>
      </w:r>
      <w:r w:rsidRPr="00F65564">
        <w:rPr>
          <w:rFonts w:asciiTheme="minorHAnsi" w:eastAsiaTheme="minorHAnsi" w:hAnsiTheme="minorHAnsi"/>
          <w:sz w:val="24"/>
          <w:szCs w:val="24"/>
        </w:rPr>
        <w:t xml:space="preserve"> za gospodarski razvoj i fondove Europske unije</w:t>
      </w:r>
      <w:r>
        <w:rPr>
          <w:rFonts w:asciiTheme="minorHAnsi" w:eastAsiaTheme="minorHAnsi" w:hAnsiTheme="minorHAnsi"/>
          <w:sz w:val="24"/>
          <w:szCs w:val="24"/>
        </w:rPr>
        <w:t>.</w:t>
      </w:r>
    </w:p>
    <w:p w14:paraId="38C3DA3A" w14:textId="4C97B0EC" w:rsidR="00BA359C" w:rsidRDefault="00BA359C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435876FD" w14:textId="77777777" w:rsidR="005E6A4B" w:rsidRDefault="005E6A4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726B1D01" w14:textId="513041C8" w:rsidR="00BA359C" w:rsidRDefault="00BA359C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BA359C">
        <w:rPr>
          <w:rFonts w:asciiTheme="minorHAnsi" w:eastAsiaTheme="minorHAnsi" w:hAnsiTheme="minorHAnsi"/>
          <w:sz w:val="24"/>
          <w:szCs w:val="24"/>
        </w:rPr>
        <w:t>P1008</w:t>
      </w:r>
      <w:r w:rsidRPr="00BA359C">
        <w:rPr>
          <w:rFonts w:asciiTheme="minorHAnsi" w:eastAsiaTheme="minorHAnsi" w:hAnsiTheme="minorHAnsi"/>
          <w:sz w:val="24"/>
          <w:szCs w:val="24"/>
        </w:rPr>
        <w:tab/>
        <w:t>PROSTORNO PLANIRANJE (PPU,GUP,UPU,DPU)</w:t>
      </w:r>
    </w:p>
    <w:p w14:paraId="01384F1C" w14:textId="34A34D22" w:rsidR="00E622DD" w:rsidRDefault="00E622DD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E622DD">
        <w:rPr>
          <w:rFonts w:asciiTheme="minorHAnsi" w:eastAsiaTheme="minorHAnsi" w:hAnsiTheme="minorHAnsi"/>
          <w:sz w:val="24"/>
          <w:szCs w:val="24"/>
        </w:rPr>
        <w:t>P1024</w:t>
      </w:r>
      <w:r w:rsidRPr="00E622DD">
        <w:rPr>
          <w:rFonts w:asciiTheme="minorHAnsi" w:eastAsiaTheme="minorHAnsi" w:hAnsiTheme="minorHAnsi"/>
          <w:sz w:val="24"/>
          <w:szCs w:val="24"/>
        </w:rPr>
        <w:tab/>
        <w:t>ZAŠTITA OKOLIŠA</w:t>
      </w:r>
    </w:p>
    <w:p w14:paraId="166598E0" w14:textId="792E3D86" w:rsidR="00F65564" w:rsidRDefault="00BA359C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Ova</w:t>
      </w:r>
      <w:r w:rsidR="00E622DD">
        <w:rPr>
          <w:rFonts w:asciiTheme="minorHAnsi" w:eastAsiaTheme="minorHAnsi" w:hAnsiTheme="minorHAnsi"/>
          <w:sz w:val="24"/>
          <w:szCs w:val="24"/>
        </w:rPr>
        <w:t xml:space="preserve"> dva</w:t>
      </w:r>
      <w:r>
        <w:rPr>
          <w:rFonts w:asciiTheme="minorHAnsi" w:eastAsiaTheme="minorHAnsi" w:hAnsiTheme="minorHAnsi"/>
          <w:sz w:val="24"/>
          <w:szCs w:val="24"/>
        </w:rPr>
        <w:t xml:space="preserve"> program</w:t>
      </w:r>
      <w:r w:rsidR="00E622DD">
        <w:rPr>
          <w:rFonts w:asciiTheme="minorHAnsi" w:eastAsiaTheme="minorHAnsi" w:hAnsiTheme="minorHAnsi"/>
          <w:sz w:val="24"/>
          <w:szCs w:val="24"/>
        </w:rPr>
        <w:t>a</w:t>
      </w:r>
      <w:r>
        <w:rPr>
          <w:rFonts w:asciiTheme="minorHAnsi" w:eastAsiaTheme="minorHAnsi" w:hAnsiTheme="minorHAnsi"/>
          <w:sz w:val="24"/>
          <w:szCs w:val="24"/>
        </w:rPr>
        <w:t xml:space="preserve"> </w:t>
      </w:r>
      <w:r w:rsidR="00E622DD">
        <w:rPr>
          <w:rFonts w:asciiTheme="minorHAnsi" w:eastAsiaTheme="minorHAnsi" w:hAnsiTheme="minorHAnsi"/>
          <w:sz w:val="24"/>
          <w:szCs w:val="24"/>
        </w:rPr>
        <w:t>se</w:t>
      </w:r>
      <w:r>
        <w:rPr>
          <w:rFonts w:asciiTheme="minorHAnsi" w:eastAsiaTheme="minorHAnsi" w:hAnsiTheme="minorHAnsi"/>
          <w:sz w:val="24"/>
          <w:szCs w:val="24"/>
        </w:rPr>
        <w:t xml:space="preserve"> provod</w:t>
      </w:r>
      <w:r w:rsidR="00E622DD">
        <w:rPr>
          <w:rFonts w:asciiTheme="minorHAnsi" w:eastAsiaTheme="minorHAnsi" w:hAnsiTheme="minorHAnsi"/>
          <w:sz w:val="24"/>
          <w:szCs w:val="24"/>
        </w:rPr>
        <w:t>e</w:t>
      </w:r>
      <w:r>
        <w:rPr>
          <w:rFonts w:asciiTheme="minorHAnsi" w:eastAsiaTheme="minorHAnsi" w:hAnsiTheme="minorHAnsi"/>
          <w:sz w:val="24"/>
          <w:szCs w:val="24"/>
        </w:rPr>
        <w:t xml:space="preserve"> </w:t>
      </w:r>
      <w:r w:rsidR="00B67375">
        <w:rPr>
          <w:rFonts w:asciiTheme="minorHAnsi" w:eastAsiaTheme="minorHAnsi" w:hAnsiTheme="minorHAnsi"/>
          <w:sz w:val="24"/>
          <w:szCs w:val="24"/>
        </w:rPr>
        <w:t xml:space="preserve">u </w:t>
      </w:r>
      <w:r w:rsidR="00B67375" w:rsidRPr="00B67375">
        <w:rPr>
          <w:rFonts w:asciiTheme="minorHAnsi" w:eastAsiaTheme="minorHAnsi" w:hAnsiTheme="minorHAnsi"/>
          <w:sz w:val="24"/>
          <w:szCs w:val="24"/>
        </w:rPr>
        <w:t>Upravn</w:t>
      </w:r>
      <w:r w:rsidR="00B67375">
        <w:rPr>
          <w:rFonts w:asciiTheme="minorHAnsi" w:eastAsiaTheme="minorHAnsi" w:hAnsiTheme="minorHAnsi"/>
          <w:sz w:val="24"/>
          <w:szCs w:val="24"/>
        </w:rPr>
        <w:t>om</w:t>
      </w:r>
      <w:r w:rsidR="00B67375" w:rsidRPr="00B67375">
        <w:rPr>
          <w:rFonts w:asciiTheme="minorHAnsi" w:eastAsiaTheme="minorHAnsi" w:hAnsiTheme="minorHAnsi"/>
          <w:sz w:val="24"/>
          <w:szCs w:val="24"/>
        </w:rPr>
        <w:t xml:space="preserve"> odjel</w:t>
      </w:r>
      <w:r w:rsidR="00B67375">
        <w:rPr>
          <w:rFonts w:asciiTheme="minorHAnsi" w:eastAsiaTheme="minorHAnsi" w:hAnsiTheme="minorHAnsi"/>
          <w:sz w:val="24"/>
          <w:szCs w:val="24"/>
        </w:rPr>
        <w:t>u</w:t>
      </w:r>
      <w:r w:rsidR="00B67375" w:rsidRPr="00B67375">
        <w:rPr>
          <w:rFonts w:asciiTheme="minorHAnsi" w:eastAsiaTheme="minorHAnsi" w:hAnsiTheme="minorHAnsi"/>
          <w:sz w:val="24"/>
          <w:szCs w:val="24"/>
        </w:rPr>
        <w:t xml:space="preserve"> za prostorno uređenje i zaštitu okoliša</w:t>
      </w:r>
      <w:r w:rsidR="00B67375">
        <w:rPr>
          <w:rFonts w:asciiTheme="minorHAnsi" w:eastAsiaTheme="minorHAnsi" w:hAnsiTheme="minorHAnsi"/>
          <w:sz w:val="24"/>
          <w:szCs w:val="24"/>
        </w:rPr>
        <w:t>.</w:t>
      </w:r>
    </w:p>
    <w:p w14:paraId="4909BA4C" w14:textId="153CE3FB" w:rsidR="00B67375" w:rsidRDefault="00B67375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3ED737A8" w14:textId="77777777" w:rsidR="005E6A4B" w:rsidRDefault="005E6A4B" w:rsidP="00B673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62B5B1C8" w14:textId="33D99FE1" w:rsidR="00B67375" w:rsidRPr="00B67375" w:rsidRDefault="00B67375" w:rsidP="00B673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B67375">
        <w:rPr>
          <w:rFonts w:asciiTheme="minorHAnsi" w:eastAsiaTheme="minorHAnsi" w:hAnsiTheme="minorHAnsi"/>
          <w:sz w:val="24"/>
          <w:szCs w:val="24"/>
        </w:rPr>
        <w:t>P1012</w:t>
      </w:r>
      <w:r w:rsidRPr="00B67375">
        <w:rPr>
          <w:rFonts w:asciiTheme="minorHAnsi" w:eastAsiaTheme="minorHAnsi" w:hAnsiTheme="minorHAnsi"/>
          <w:sz w:val="24"/>
          <w:szCs w:val="24"/>
        </w:rPr>
        <w:tab/>
        <w:t>PREDŠKOLSKI ODGOJ</w:t>
      </w:r>
    </w:p>
    <w:p w14:paraId="5C02DD03" w14:textId="6F72270F" w:rsidR="00B67375" w:rsidRDefault="00B67375" w:rsidP="00B673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B67375">
        <w:rPr>
          <w:rFonts w:asciiTheme="minorHAnsi" w:eastAsiaTheme="minorHAnsi" w:hAnsiTheme="minorHAnsi"/>
          <w:sz w:val="24"/>
          <w:szCs w:val="24"/>
        </w:rPr>
        <w:t>P1015</w:t>
      </w:r>
      <w:r w:rsidRPr="00B67375">
        <w:rPr>
          <w:rFonts w:asciiTheme="minorHAnsi" w:eastAsiaTheme="minorHAnsi" w:hAnsiTheme="minorHAnsi"/>
          <w:sz w:val="24"/>
          <w:szCs w:val="24"/>
        </w:rPr>
        <w:tab/>
        <w:t>PROMICANJE KULTURE</w:t>
      </w:r>
    </w:p>
    <w:p w14:paraId="3F849FA2" w14:textId="77777777" w:rsidR="00B67375" w:rsidRPr="00B67375" w:rsidRDefault="00B67375" w:rsidP="00B673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B67375">
        <w:rPr>
          <w:rFonts w:asciiTheme="minorHAnsi" w:eastAsiaTheme="minorHAnsi" w:hAnsiTheme="minorHAnsi"/>
          <w:sz w:val="24"/>
          <w:szCs w:val="24"/>
        </w:rPr>
        <w:t>P1016</w:t>
      </w:r>
      <w:r w:rsidRPr="00B67375">
        <w:rPr>
          <w:rFonts w:asciiTheme="minorHAnsi" w:eastAsiaTheme="minorHAnsi" w:hAnsiTheme="minorHAnsi"/>
          <w:sz w:val="24"/>
          <w:szCs w:val="24"/>
        </w:rPr>
        <w:tab/>
        <w:t>SOCIJALNI PROGRAM</w:t>
      </w:r>
    </w:p>
    <w:p w14:paraId="5DECD3CE" w14:textId="77777777" w:rsidR="00B67375" w:rsidRPr="00B67375" w:rsidRDefault="00B67375" w:rsidP="00B673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B67375">
        <w:rPr>
          <w:rFonts w:asciiTheme="minorHAnsi" w:eastAsiaTheme="minorHAnsi" w:hAnsiTheme="minorHAnsi"/>
          <w:sz w:val="24"/>
          <w:szCs w:val="24"/>
        </w:rPr>
        <w:t>P1017</w:t>
      </w:r>
      <w:r w:rsidRPr="00B67375">
        <w:rPr>
          <w:rFonts w:asciiTheme="minorHAnsi" w:eastAsiaTheme="minorHAnsi" w:hAnsiTheme="minorHAnsi"/>
          <w:sz w:val="24"/>
          <w:szCs w:val="24"/>
        </w:rPr>
        <w:tab/>
        <w:t>PROGRAM PROMICANJA ŠPORTA</w:t>
      </w:r>
    </w:p>
    <w:p w14:paraId="29E5F868" w14:textId="61866A63" w:rsidR="00B67375" w:rsidRDefault="00B67375" w:rsidP="00B673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B67375">
        <w:rPr>
          <w:rFonts w:asciiTheme="minorHAnsi" w:eastAsiaTheme="minorHAnsi" w:hAnsiTheme="minorHAnsi"/>
          <w:sz w:val="24"/>
          <w:szCs w:val="24"/>
        </w:rPr>
        <w:t>P1018</w:t>
      </w:r>
      <w:r w:rsidRPr="00B67375">
        <w:rPr>
          <w:rFonts w:asciiTheme="minorHAnsi" w:eastAsiaTheme="minorHAnsi" w:hAnsiTheme="minorHAnsi"/>
          <w:sz w:val="24"/>
          <w:szCs w:val="24"/>
        </w:rPr>
        <w:tab/>
        <w:t>ZAŠTITA OD POŽARA I CIVILNA ZAŠTITA</w:t>
      </w:r>
    </w:p>
    <w:p w14:paraId="0A82F306" w14:textId="77777777" w:rsidR="00B67375" w:rsidRPr="00B67375" w:rsidRDefault="00B67375" w:rsidP="00B673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B67375">
        <w:rPr>
          <w:rFonts w:asciiTheme="minorHAnsi" w:eastAsiaTheme="minorHAnsi" w:hAnsiTheme="minorHAnsi"/>
          <w:sz w:val="24"/>
          <w:szCs w:val="24"/>
        </w:rPr>
        <w:t>P1023</w:t>
      </w:r>
      <w:r w:rsidRPr="00B67375">
        <w:rPr>
          <w:rFonts w:asciiTheme="minorHAnsi" w:eastAsiaTheme="minorHAnsi" w:hAnsiTheme="minorHAnsi"/>
          <w:sz w:val="24"/>
          <w:szCs w:val="24"/>
        </w:rPr>
        <w:tab/>
        <w:t>JAVNA UPRAVA I ADMINISTRACIJA</w:t>
      </w:r>
    </w:p>
    <w:p w14:paraId="5FA3D293" w14:textId="61BBD868" w:rsidR="00B67375" w:rsidRDefault="00B67375" w:rsidP="00B673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B67375">
        <w:rPr>
          <w:rFonts w:asciiTheme="minorHAnsi" w:eastAsiaTheme="minorHAnsi" w:hAnsiTheme="minorHAnsi"/>
          <w:sz w:val="24"/>
          <w:szCs w:val="24"/>
        </w:rPr>
        <w:t>P1019</w:t>
      </w:r>
      <w:r w:rsidRPr="00B67375">
        <w:rPr>
          <w:rFonts w:asciiTheme="minorHAnsi" w:eastAsiaTheme="minorHAnsi" w:hAnsiTheme="minorHAnsi"/>
          <w:sz w:val="24"/>
          <w:szCs w:val="24"/>
        </w:rPr>
        <w:tab/>
        <w:t>EKONOMSKI POSLOVI KOJI NISU DRUGDJE SVRSTANI</w:t>
      </w:r>
    </w:p>
    <w:p w14:paraId="5DD723EA" w14:textId="59D8D8F2" w:rsidR="00B67375" w:rsidRDefault="004E19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4E19FB">
        <w:rPr>
          <w:rFonts w:asciiTheme="minorHAnsi" w:eastAsiaTheme="minorHAnsi" w:hAnsiTheme="minorHAnsi"/>
          <w:sz w:val="24"/>
          <w:szCs w:val="24"/>
        </w:rPr>
        <w:t>P1014</w:t>
      </w:r>
      <w:r w:rsidRPr="004E19FB">
        <w:rPr>
          <w:rFonts w:asciiTheme="minorHAnsi" w:eastAsiaTheme="minorHAnsi" w:hAnsiTheme="minorHAnsi"/>
          <w:sz w:val="24"/>
          <w:szCs w:val="24"/>
        </w:rPr>
        <w:tab/>
        <w:t>GRADSKA KNJIŽNICA KAŠTELA</w:t>
      </w:r>
    </w:p>
    <w:p w14:paraId="3BD2E84F" w14:textId="4480CBC2" w:rsidR="00B67375" w:rsidRDefault="004E19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4E19FB">
        <w:rPr>
          <w:rFonts w:asciiTheme="minorHAnsi" w:eastAsiaTheme="minorHAnsi" w:hAnsiTheme="minorHAnsi"/>
          <w:sz w:val="24"/>
          <w:szCs w:val="24"/>
        </w:rPr>
        <w:t>P1013</w:t>
      </w:r>
      <w:r w:rsidRPr="004E19FB">
        <w:rPr>
          <w:rFonts w:asciiTheme="minorHAnsi" w:eastAsiaTheme="minorHAnsi" w:hAnsiTheme="minorHAnsi"/>
          <w:sz w:val="24"/>
          <w:szCs w:val="24"/>
        </w:rPr>
        <w:tab/>
        <w:t>MUZEJ GRADA KAŠTELA</w:t>
      </w:r>
    </w:p>
    <w:p w14:paraId="0A43C443" w14:textId="248198F8" w:rsidR="00F516E8" w:rsidRDefault="00F516E8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1AD627C8" w14:textId="7609785B" w:rsidR="00A4190A" w:rsidRDefault="00A4190A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 xml:space="preserve">Ovih devet programa se provodi kroz </w:t>
      </w:r>
      <w:r w:rsidRPr="00A4190A">
        <w:rPr>
          <w:rFonts w:asciiTheme="minorHAnsi" w:eastAsiaTheme="minorHAnsi" w:hAnsiTheme="minorHAnsi"/>
          <w:sz w:val="24"/>
          <w:szCs w:val="24"/>
        </w:rPr>
        <w:t>Upravni odjel za društvene djelatnosti i zajedničke poslove</w:t>
      </w:r>
      <w:r>
        <w:rPr>
          <w:rFonts w:asciiTheme="minorHAnsi" w:eastAsiaTheme="minorHAnsi" w:hAnsiTheme="minorHAnsi"/>
          <w:sz w:val="24"/>
          <w:szCs w:val="24"/>
        </w:rPr>
        <w:t xml:space="preserve"> te će isti biti obrazloženi kroz programe upravnog odjela.</w:t>
      </w:r>
    </w:p>
    <w:p w14:paraId="6595642F" w14:textId="2F314115" w:rsidR="00A4190A" w:rsidRDefault="00A4190A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0F9A8C96" w14:textId="106ED187" w:rsidR="00A4190A" w:rsidRDefault="00C62C53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C62C53">
        <w:rPr>
          <w:rFonts w:asciiTheme="minorHAnsi" w:eastAsiaTheme="minorHAnsi" w:hAnsiTheme="minorHAnsi"/>
          <w:sz w:val="24"/>
          <w:szCs w:val="24"/>
        </w:rPr>
        <w:t>P1020</w:t>
      </w:r>
      <w:r w:rsidRPr="00C62C53">
        <w:rPr>
          <w:rFonts w:asciiTheme="minorHAnsi" w:eastAsiaTheme="minorHAnsi" w:hAnsiTheme="minorHAnsi"/>
          <w:sz w:val="24"/>
          <w:szCs w:val="24"/>
        </w:rPr>
        <w:tab/>
        <w:t>DJELATNOST VLASTITOG POGONA</w:t>
      </w:r>
    </w:p>
    <w:p w14:paraId="7EF64E45" w14:textId="2B968220" w:rsidR="00A4190A" w:rsidRDefault="00C62C53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Ovaj program se provodi kroz Komunalni pogon te će isti biti obrazložen kroz program održavanja.</w:t>
      </w:r>
    </w:p>
    <w:p w14:paraId="480AD8DF" w14:textId="632EB548" w:rsidR="00C62C53" w:rsidRDefault="00C62C53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790E7FF9" w14:textId="6895673F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5563FB">
        <w:rPr>
          <w:rFonts w:asciiTheme="minorHAnsi" w:eastAsiaTheme="minorHAnsi" w:hAnsiTheme="minorHAnsi"/>
          <w:sz w:val="24"/>
          <w:szCs w:val="24"/>
        </w:rPr>
        <w:t xml:space="preserve">Projekti koji se financiraju dijelom iz sredstava Europske unije u </w:t>
      </w:r>
      <w:r w:rsidR="00AD6EBE" w:rsidRPr="00AD6EBE">
        <w:rPr>
          <w:rFonts w:asciiTheme="minorHAnsi" w:eastAsiaTheme="minorHAnsi" w:hAnsiTheme="minorHAnsi"/>
          <w:sz w:val="24"/>
          <w:szCs w:val="24"/>
        </w:rPr>
        <w:t>Upravn</w:t>
      </w:r>
      <w:r w:rsidR="00AD6EBE">
        <w:rPr>
          <w:rFonts w:asciiTheme="minorHAnsi" w:eastAsiaTheme="minorHAnsi" w:hAnsiTheme="minorHAnsi"/>
          <w:sz w:val="24"/>
          <w:szCs w:val="24"/>
        </w:rPr>
        <w:t>o</w:t>
      </w:r>
      <w:r w:rsidR="00AD6EBE" w:rsidRPr="00AD6EBE">
        <w:rPr>
          <w:rFonts w:asciiTheme="minorHAnsi" w:eastAsiaTheme="minorHAnsi" w:hAnsiTheme="minorHAnsi"/>
          <w:sz w:val="24"/>
          <w:szCs w:val="24"/>
        </w:rPr>
        <w:t>m odjel</w:t>
      </w:r>
      <w:r w:rsidR="00AD6EBE">
        <w:rPr>
          <w:rFonts w:asciiTheme="minorHAnsi" w:eastAsiaTheme="minorHAnsi" w:hAnsiTheme="minorHAnsi"/>
          <w:sz w:val="24"/>
          <w:szCs w:val="24"/>
        </w:rPr>
        <w:t>u</w:t>
      </w:r>
      <w:r w:rsidR="00AD6EBE" w:rsidRPr="00AD6EBE">
        <w:rPr>
          <w:rFonts w:asciiTheme="minorHAnsi" w:eastAsiaTheme="minorHAnsi" w:hAnsiTheme="minorHAnsi"/>
          <w:sz w:val="24"/>
          <w:szCs w:val="24"/>
        </w:rPr>
        <w:t xml:space="preserve"> za gospodarski razvoj i fondove Europske unije</w:t>
      </w:r>
      <w:r w:rsidRPr="005563FB">
        <w:rPr>
          <w:rFonts w:asciiTheme="minorHAnsi" w:eastAsiaTheme="minorHAnsi" w:hAnsiTheme="minorHAnsi"/>
          <w:sz w:val="24"/>
          <w:szCs w:val="24"/>
        </w:rPr>
        <w:t xml:space="preserve"> su:</w:t>
      </w:r>
    </w:p>
    <w:p w14:paraId="3C507BE7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76AE1DEA" w14:textId="357A75DE" w:rsidR="005563FB" w:rsidRPr="005563FB" w:rsidRDefault="005563FB" w:rsidP="00697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HAnsi" w:hAnsiTheme="minorHAnsi"/>
          <w:sz w:val="24"/>
          <w:szCs w:val="24"/>
        </w:rPr>
      </w:pPr>
      <w:bookmarkStart w:id="19" w:name="_Hlk55458330"/>
      <w:r w:rsidRPr="005563FB">
        <w:rPr>
          <w:rFonts w:asciiTheme="minorHAnsi" w:eastAsiaTheme="minorHAnsi" w:hAnsiTheme="minorHAnsi"/>
          <w:sz w:val="24"/>
          <w:szCs w:val="24"/>
        </w:rPr>
        <w:t xml:space="preserve">Projekt </w:t>
      </w:r>
      <w:r w:rsidRPr="005563FB">
        <w:rPr>
          <w:rFonts w:asciiTheme="minorHAnsi" w:eastAsiaTheme="minorHAnsi" w:hAnsiTheme="minorHAnsi"/>
          <w:b/>
          <w:bCs/>
          <w:sz w:val="24"/>
          <w:szCs w:val="24"/>
        </w:rPr>
        <w:t>Skriveni habitati</w:t>
      </w:r>
      <w:r w:rsidRPr="005563FB">
        <w:rPr>
          <w:rFonts w:asciiTheme="minorHAnsi" w:eastAsiaTheme="minorHAnsi" w:hAnsiTheme="minorHAnsi"/>
          <w:sz w:val="24"/>
          <w:szCs w:val="24"/>
        </w:rPr>
        <w:t xml:space="preserve"> (nastavak iz prethodne godine) Cilj projekta je zaštita i  održivo gospodarenje zaštićenom prirodnom baštinom. Grad Kaštela sudjeluje sa lokalitetom Stara maslina u K.Štafiliću koja je kao zaštićeni spomenik prirode upisana u registar prirodne  baštine.  Lokalitet  na kojem se nalazi stara maslina će se adekvatno zaštiti, postaviti će se brojač posjetitelja na solarni pogon i  interaktivni informativni panel na kojem će posjetitelji moći dobiti sve informacije o tom vrijednom spomeniku prirodne baštine, </w:t>
      </w:r>
    </w:p>
    <w:p w14:paraId="10BE8169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Theme="minorHAnsi" w:hAnsiTheme="minorHAnsi"/>
          <w:sz w:val="24"/>
          <w:szCs w:val="24"/>
        </w:rPr>
      </w:pPr>
    </w:p>
    <w:p w14:paraId="77776618" w14:textId="0009FC0F" w:rsidR="005563FB" w:rsidRDefault="005563FB" w:rsidP="00697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HAnsi" w:hAnsiTheme="minorHAnsi"/>
          <w:sz w:val="24"/>
          <w:szCs w:val="24"/>
        </w:rPr>
      </w:pPr>
      <w:r w:rsidRPr="005563FB">
        <w:rPr>
          <w:rFonts w:asciiTheme="minorHAnsi" w:eastAsiaTheme="minorHAnsi" w:hAnsiTheme="minorHAnsi"/>
          <w:sz w:val="24"/>
          <w:szCs w:val="24"/>
        </w:rPr>
        <w:t xml:space="preserve">Projekt </w:t>
      </w:r>
      <w:r w:rsidRPr="005563FB">
        <w:rPr>
          <w:rFonts w:asciiTheme="minorHAnsi" w:eastAsiaTheme="minorHAnsi" w:hAnsiTheme="minorHAnsi"/>
          <w:b/>
          <w:bCs/>
          <w:sz w:val="24"/>
          <w:szCs w:val="24"/>
        </w:rPr>
        <w:t>PMO-GATE</w:t>
      </w:r>
      <w:r w:rsidRPr="005563FB">
        <w:rPr>
          <w:rFonts w:asciiTheme="minorHAnsi" w:eastAsiaTheme="minorHAnsi" w:hAnsiTheme="minorHAnsi"/>
          <w:sz w:val="24"/>
          <w:szCs w:val="24"/>
        </w:rPr>
        <w:t xml:space="preserve"> Projekt za cilj ima poboljšati sigurnost definiranog područja, podupirući razvoj sustava upravljanja katastrofama, povećavajući kapacitet oporavka uz smanjenje šteta na najmanju moguću mjeru. Projekt PMO-GATE će doprinijeti poboljšanju kapaciteta javnog i privatnog sektora radi ublažavanja utjecaja klimatskih promjena i prirodnih opasnosti na kulturnu baštinu. Projekt se fokusira na razvoj adekvatnih rješenja za prilagodbu klimatskim promjena, u ovom slučaju prevenciju rizika u slučaju poplava i meteo-tsunamija, obuhvaća izradu studijske dokumentacije uz rizike nastale od potresa i nepovoljnih klimatskih utjecaja, </w:t>
      </w:r>
    </w:p>
    <w:p w14:paraId="1A176C32" w14:textId="77777777" w:rsidR="00646753" w:rsidRPr="005563FB" w:rsidRDefault="00646753" w:rsidP="006467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HAnsi" w:hAnsiTheme="minorHAnsi"/>
          <w:sz w:val="24"/>
          <w:szCs w:val="24"/>
        </w:rPr>
      </w:pPr>
    </w:p>
    <w:p w14:paraId="3A949577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7136BBB0" w14:textId="4E0BD2F2" w:rsidR="005563FB" w:rsidRPr="005563FB" w:rsidRDefault="005563FB" w:rsidP="00697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HAnsi" w:hAnsiTheme="minorHAnsi"/>
          <w:sz w:val="24"/>
          <w:szCs w:val="24"/>
        </w:rPr>
      </w:pPr>
      <w:r w:rsidRPr="005563FB">
        <w:rPr>
          <w:rFonts w:asciiTheme="minorHAnsi" w:eastAsiaTheme="minorHAnsi" w:hAnsiTheme="minorHAnsi"/>
          <w:sz w:val="24"/>
          <w:szCs w:val="24"/>
        </w:rPr>
        <w:t xml:space="preserve">Projekt </w:t>
      </w:r>
      <w:r w:rsidRPr="005563FB">
        <w:rPr>
          <w:rFonts w:asciiTheme="minorHAnsi" w:eastAsiaTheme="minorHAnsi" w:hAnsiTheme="minorHAnsi"/>
          <w:b/>
          <w:bCs/>
          <w:sz w:val="24"/>
          <w:szCs w:val="24"/>
        </w:rPr>
        <w:t>UNDERWATER MUSE</w:t>
      </w:r>
      <w:r w:rsidRPr="005563FB">
        <w:rPr>
          <w:rFonts w:asciiTheme="minorHAnsi" w:eastAsiaTheme="minorHAnsi" w:hAnsiTheme="minorHAnsi"/>
          <w:sz w:val="24"/>
          <w:szCs w:val="24"/>
        </w:rPr>
        <w:t xml:space="preserve"> Tema projekta  je istraživanje podvodne baštine u Jadranskom moru  te očuvanje i kvalitetna prezentacija iste. Kao područje istraživanja u Kaštelima odabrana je luka Siculi na području Resnika s obzirom na njenu povijesno značenje u razvoju  Grada  Kaštela.  U ovoj fazi završena su istraživanja na lokalitetu, a svi nalazi biti će prezentirani u izložbi koja će se organizirati pred kraj projekta. Također, u sklopu projekta u prostorijama Muzeja grada Kaštela urediti će se virtualna izložba kako bi se taj podmorski lokalitet približio većem broju posjetitelja te osobama koje nisu u mogućnosti doći do lokaliteta. Na taj način pridonosi se turističkoj ponudi grada u području kulturnog turizma i pridonosi se povećanju svijesti posjetitelja </w:t>
      </w:r>
      <w:r w:rsidR="00646753">
        <w:rPr>
          <w:rFonts w:asciiTheme="minorHAnsi" w:eastAsiaTheme="minorHAnsi" w:hAnsiTheme="minorHAnsi"/>
          <w:sz w:val="24"/>
          <w:szCs w:val="24"/>
        </w:rPr>
        <w:t>i</w:t>
      </w:r>
      <w:r w:rsidRPr="005563FB">
        <w:rPr>
          <w:rFonts w:asciiTheme="minorHAnsi" w:eastAsiaTheme="minorHAnsi" w:hAnsiTheme="minorHAnsi"/>
          <w:sz w:val="24"/>
          <w:szCs w:val="24"/>
        </w:rPr>
        <w:t xml:space="preserve"> samih  stanovnika o važnosti tog područja u razvoju grada. , </w:t>
      </w:r>
    </w:p>
    <w:p w14:paraId="5BCB3763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1E18B2E6" w14:textId="36A86BF8" w:rsidR="005563FB" w:rsidRPr="005563FB" w:rsidRDefault="005563FB" w:rsidP="00697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HAnsi" w:hAnsiTheme="minorHAnsi"/>
          <w:sz w:val="24"/>
          <w:szCs w:val="24"/>
        </w:rPr>
      </w:pPr>
      <w:r w:rsidRPr="005563FB">
        <w:rPr>
          <w:rFonts w:asciiTheme="minorHAnsi" w:eastAsiaTheme="minorHAnsi" w:hAnsiTheme="minorHAnsi"/>
          <w:sz w:val="24"/>
          <w:szCs w:val="24"/>
        </w:rPr>
        <w:t xml:space="preserve">Projekt </w:t>
      </w:r>
      <w:r w:rsidRPr="005563FB">
        <w:rPr>
          <w:rFonts w:asciiTheme="minorHAnsi" w:eastAsiaTheme="minorHAnsi" w:hAnsiTheme="minorHAnsi"/>
          <w:b/>
          <w:bCs/>
          <w:sz w:val="24"/>
          <w:szCs w:val="24"/>
        </w:rPr>
        <w:t>VALUE</w:t>
      </w:r>
      <w:r w:rsidRPr="005563FB">
        <w:rPr>
          <w:rFonts w:asciiTheme="minorHAnsi" w:eastAsiaTheme="minorHAnsi" w:hAnsiTheme="minorHAnsi"/>
          <w:sz w:val="24"/>
          <w:szCs w:val="24"/>
        </w:rPr>
        <w:t xml:space="preserve"> za provedbu pilot projekta na brijegu Balavan na padinama Kozjaka u Kaštel Lukšiću. Trenutno se provode radovi na izgradnji pristupnog puta kao i rekonstrukcija lokaliteta Balavan,obuhvaća uređivanje, oplemenjivanje i prezentiranje lokacije Svetog Lovre od Ostroga, </w:t>
      </w:r>
    </w:p>
    <w:p w14:paraId="3493E48B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28B36ACF" w14:textId="7642D97D" w:rsidR="005563FB" w:rsidRPr="005563FB" w:rsidRDefault="005563FB" w:rsidP="00697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HAnsi" w:hAnsiTheme="minorHAnsi"/>
          <w:sz w:val="24"/>
          <w:szCs w:val="24"/>
        </w:rPr>
      </w:pPr>
      <w:r w:rsidRPr="005563FB">
        <w:rPr>
          <w:rFonts w:asciiTheme="minorHAnsi" w:eastAsiaTheme="minorHAnsi" w:hAnsiTheme="minorHAnsi"/>
          <w:sz w:val="24"/>
          <w:szCs w:val="24"/>
        </w:rPr>
        <w:t xml:space="preserve">Projekt </w:t>
      </w:r>
      <w:r w:rsidRPr="005563FB">
        <w:rPr>
          <w:rFonts w:asciiTheme="minorHAnsi" w:eastAsiaTheme="minorHAnsi" w:hAnsiTheme="minorHAnsi"/>
          <w:b/>
          <w:bCs/>
          <w:sz w:val="24"/>
          <w:szCs w:val="24"/>
        </w:rPr>
        <w:t>ADRISEISMIC</w:t>
      </w:r>
      <w:r w:rsidRPr="005563FB">
        <w:rPr>
          <w:rFonts w:asciiTheme="minorHAnsi" w:eastAsiaTheme="minorHAnsi" w:hAnsiTheme="minorHAnsi"/>
          <w:sz w:val="24"/>
          <w:szCs w:val="24"/>
        </w:rPr>
        <w:t xml:space="preserve"> - Cilj projekta je razmjena i sistematizacija znanja i praksi u rješavanju problema smanjenja seizmike, projekt se bazira na ispitivanju ugroženosti urbanih jezgri i povijesnih građevina na potrese ta načinima smanjenja rizika i šteta koje bi nastale u slučaju potresa jače udarne snage. Posebno se fokusira na kamene građevine i njihovu ugroženost neadekvatnim nadogradnjama u vidu betonskih elemenata, nadgrađa i sl.  Glavna fokus područja su povijesni urbani centri i povijesni trgovi i njihove okolne zgrade, zamišljeni kao simboli lokalnog identiteta i društveno-gospodarskih jezgri naselja. </w:t>
      </w:r>
    </w:p>
    <w:p w14:paraId="06155787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7BCB7EBA" w14:textId="7D9E8CCA" w:rsidR="005563FB" w:rsidRPr="005563FB" w:rsidRDefault="005563FB" w:rsidP="00697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HAnsi" w:hAnsiTheme="minorHAnsi"/>
          <w:sz w:val="24"/>
          <w:szCs w:val="24"/>
        </w:rPr>
      </w:pPr>
      <w:r w:rsidRPr="005563FB">
        <w:rPr>
          <w:rFonts w:asciiTheme="minorHAnsi" w:eastAsiaTheme="minorHAnsi" w:hAnsiTheme="minorHAnsi"/>
          <w:sz w:val="24"/>
          <w:szCs w:val="24"/>
        </w:rPr>
        <w:t xml:space="preserve">Projekt </w:t>
      </w:r>
      <w:r w:rsidRPr="005563FB">
        <w:rPr>
          <w:rFonts w:asciiTheme="minorHAnsi" w:eastAsiaTheme="minorHAnsi" w:hAnsiTheme="minorHAnsi"/>
          <w:b/>
          <w:bCs/>
          <w:sz w:val="24"/>
          <w:szCs w:val="24"/>
        </w:rPr>
        <w:t>ZAŽELI</w:t>
      </w:r>
      <w:r w:rsidRPr="005563FB">
        <w:rPr>
          <w:rFonts w:asciiTheme="minorHAnsi" w:eastAsiaTheme="minorHAnsi" w:hAnsiTheme="minorHAnsi"/>
          <w:sz w:val="24"/>
          <w:szCs w:val="24"/>
        </w:rPr>
        <w:t xml:space="preserve"> - Zapošljavanje žena koje su u nepovoljnom položaju na tržištu rada, s naglaskom na žene starije od 50 godina, žene s najviše završenom srednjom stručnom spremom, žene s invaliditetom, žene žrtve trgovanja ljudima, liječene ovisnice, žene žrtve obiteljskog nasilja, beskućnice sa svrhom potpore i podrške starijim osobama i osobama u nepovoljnom položaju u lokalnoj zajednici. Žene će pružati potporu i podršku starijim osobama i osobama u nepovoljnom položaju u njihovim kućanstvima. </w:t>
      </w:r>
    </w:p>
    <w:p w14:paraId="48C9979C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78CA2731" w14:textId="468C0F4D" w:rsidR="005563FB" w:rsidRPr="005563FB" w:rsidRDefault="005563FB" w:rsidP="00697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HAnsi" w:hAnsiTheme="minorHAnsi"/>
          <w:sz w:val="24"/>
          <w:szCs w:val="24"/>
        </w:rPr>
      </w:pPr>
      <w:r w:rsidRPr="005563FB">
        <w:rPr>
          <w:rFonts w:asciiTheme="minorHAnsi" w:eastAsiaTheme="minorHAnsi" w:hAnsiTheme="minorHAnsi"/>
          <w:sz w:val="24"/>
          <w:szCs w:val="24"/>
        </w:rPr>
        <w:t xml:space="preserve">Projekt </w:t>
      </w:r>
      <w:r w:rsidRPr="005563FB">
        <w:rPr>
          <w:rFonts w:asciiTheme="minorHAnsi" w:eastAsiaTheme="minorHAnsi" w:hAnsiTheme="minorHAnsi"/>
          <w:b/>
          <w:bCs/>
          <w:sz w:val="24"/>
          <w:szCs w:val="24"/>
        </w:rPr>
        <w:t>CITY BIKE</w:t>
      </w:r>
      <w:r w:rsidRPr="005563FB">
        <w:rPr>
          <w:rFonts w:asciiTheme="minorHAnsi" w:eastAsiaTheme="minorHAnsi" w:hAnsiTheme="minorHAnsi"/>
          <w:sz w:val="24"/>
          <w:szCs w:val="24"/>
        </w:rPr>
        <w:t xml:space="preserve"> - Aktivnosti ovog projekta usmjerene su ka poboljšanju dostupnosti i praktičnosti prijevoza biciklima na način da se isti proširi gdje postoji, odnosno na područjima partnerskih JLS-ova uvede i integrira s postojećim sustavom dijeljenja bicikala. Obzirom na jednostavnost korištenja, sustav javnih bicikala namijenjen je i građanima i turistima odnosno posjetiteljima koji na taj način ostvaruju lakši pristup bilo kojem gradskom /općinskom sadržaju koji žele razgledati ili koristiti. Za područje Grada Kaštela ide 6 punktova i nabaviti će se 30 električnih i 30 običnih bicikla. </w:t>
      </w:r>
    </w:p>
    <w:p w14:paraId="7E4E75BD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2307C614" w14:textId="0633E8CC" w:rsidR="005563FB" w:rsidRPr="005563FB" w:rsidRDefault="005563FB" w:rsidP="0069710B">
      <w:pPr>
        <w:numPr>
          <w:ilvl w:val="0"/>
          <w:numId w:val="3"/>
        </w:numPr>
        <w:contextualSpacing/>
        <w:rPr>
          <w:rFonts w:asciiTheme="minorHAnsi" w:eastAsiaTheme="minorHAnsi" w:hAnsiTheme="minorHAnsi"/>
          <w:sz w:val="24"/>
          <w:szCs w:val="24"/>
        </w:rPr>
      </w:pPr>
      <w:r w:rsidRPr="005563FB">
        <w:rPr>
          <w:rFonts w:asciiTheme="minorHAnsi" w:eastAsiaTheme="minorHAnsi" w:hAnsiTheme="minorHAnsi"/>
          <w:sz w:val="24"/>
          <w:szCs w:val="24"/>
        </w:rPr>
        <w:t xml:space="preserve">Projekt </w:t>
      </w:r>
      <w:r w:rsidRPr="005563FB">
        <w:rPr>
          <w:rFonts w:asciiTheme="minorHAnsi" w:eastAsiaTheme="minorHAnsi" w:hAnsiTheme="minorHAnsi"/>
          <w:b/>
          <w:bCs/>
          <w:sz w:val="24"/>
          <w:szCs w:val="24"/>
        </w:rPr>
        <w:t>VILLA NIKA BROWNFIELD</w:t>
      </w:r>
      <w:r w:rsidRPr="005563FB">
        <w:rPr>
          <w:rFonts w:asciiTheme="minorHAnsi" w:eastAsiaTheme="minorHAnsi" w:hAnsiTheme="minorHAnsi"/>
          <w:sz w:val="24"/>
          <w:szCs w:val="24"/>
        </w:rPr>
        <w:t xml:space="preserve"> - Cilj projekta je sprječavanje daljnje devastacije te revitalizacija zaštićene baštine kroz jasno određenu namjenu. Projektom će se obnoviti Villa Nika koja će dobiti namjenu prilagođenu potrebama grada i njegovih posjetitelja. </w:t>
      </w:r>
    </w:p>
    <w:p w14:paraId="7C46AED3" w14:textId="77777777" w:rsidR="005563FB" w:rsidRPr="005563FB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p w14:paraId="2D6CCBA6" w14:textId="50D026C8" w:rsidR="005563FB" w:rsidRPr="00F8275B" w:rsidRDefault="00F8275B" w:rsidP="005563F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 xml:space="preserve">Projekt </w:t>
      </w:r>
      <w:r w:rsidRPr="00F8275B">
        <w:rPr>
          <w:rFonts w:asciiTheme="minorHAnsi" w:eastAsiaTheme="minorHAnsi" w:hAnsiTheme="minorHAnsi"/>
          <w:b/>
          <w:bCs/>
          <w:sz w:val="24"/>
          <w:szCs w:val="24"/>
        </w:rPr>
        <w:t>IZVANINSTITUCIONALNE SKRBI-ITU MEHANIZMI</w:t>
      </w:r>
      <w:r>
        <w:rPr>
          <w:rFonts w:asciiTheme="minorHAnsi" w:eastAsiaTheme="minorHAnsi" w:hAnsiTheme="minorHAnsi"/>
          <w:sz w:val="24"/>
          <w:szCs w:val="24"/>
        </w:rPr>
        <w:t xml:space="preserve"> - </w:t>
      </w:r>
      <w:r w:rsidRPr="00F8275B">
        <w:rPr>
          <w:rFonts w:asciiTheme="minorHAnsi" w:eastAsiaTheme="minorHAnsi" w:hAnsiTheme="minorHAnsi"/>
          <w:sz w:val="24"/>
          <w:szCs w:val="24"/>
        </w:rPr>
        <w:t>Cilj projekta je razvoj socijalne usluge u zajednici kako bi se smanjila socijalna isključenost i prevenirala institucionalizacija najranjivijih skupina u društvu. Aktivnostima se namjerava obuhvatiti više ciljanih skupina (mlade do 25 godina, osobe s invaliditetom, i starije od 54 godine), ukupno 40 korisnika, a cilj je svakoj skupini pružiti specifične socijalne usluge koje će im izravno pomoći u ublažavanju teškog stanja populacije, povećat će se njihova mobilnost, smanjiti društvena isključenost mladih kroz organizaciju klupskih aktivnosti i kroz razne edukacije prevladati će informacijsku izoliranost</w:t>
      </w:r>
      <w:r>
        <w:rPr>
          <w:rFonts w:asciiTheme="minorHAnsi" w:eastAsiaTheme="minorHAnsi" w:hAnsiTheme="minorHAnsi"/>
          <w:sz w:val="24"/>
          <w:szCs w:val="24"/>
        </w:rPr>
        <w:t xml:space="preserve">. Projekt </w:t>
      </w:r>
      <w:r w:rsidRPr="00F8275B">
        <w:rPr>
          <w:rFonts w:asciiTheme="minorHAnsi" w:eastAsiaTheme="minorHAnsi" w:hAnsiTheme="minorHAnsi"/>
          <w:sz w:val="24"/>
          <w:szCs w:val="24"/>
        </w:rPr>
        <w:t>provodi Grad zajedno s Udrugom sveti Jeronim.</w:t>
      </w:r>
    </w:p>
    <w:p w14:paraId="6E2DB78D" w14:textId="77777777" w:rsidR="00F8275B" w:rsidRDefault="00F8275B" w:rsidP="00556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</w:p>
    <w:bookmarkEnd w:id="19"/>
    <w:p w14:paraId="11F2E9D8" w14:textId="13AE5D65" w:rsidR="005563FB" w:rsidRPr="00101AA5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hr-HR"/>
        </w:rPr>
      </w:pPr>
      <w:r w:rsidRPr="00101AA5">
        <w:rPr>
          <w:sz w:val="24"/>
          <w:szCs w:val="24"/>
          <w:lang w:eastAsia="hr-HR"/>
        </w:rPr>
        <w:t xml:space="preserve">Rashodi u knjižnici su veći za </w:t>
      </w:r>
      <w:r w:rsidR="00503EC8" w:rsidRPr="00101AA5">
        <w:rPr>
          <w:sz w:val="24"/>
          <w:szCs w:val="24"/>
          <w:lang w:eastAsia="hr-HR"/>
        </w:rPr>
        <w:t>236.850</w:t>
      </w:r>
      <w:r w:rsidRPr="00101AA5">
        <w:rPr>
          <w:sz w:val="24"/>
          <w:szCs w:val="24"/>
          <w:lang w:eastAsia="hr-HR"/>
        </w:rPr>
        <w:t xml:space="preserve"> kn  uglavnom zbog nabavke knjiga, promidžbenog materijala i razne opreme.</w:t>
      </w:r>
    </w:p>
    <w:p w14:paraId="2F01BF90" w14:textId="77777777" w:rsidR="005563FB" w:rsidRPr="00101AA5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hr-HR"/>
        </w:rPr>
      </w:pPr>
    </w:p>
    <w:p w14:paraId="711EC4B6" w14:textId="3F36EBC3" w:rsidR="005563FB" w:rsidRPr="00101AA5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hr-HR"/>
        </w:rPr>
      </w:pPr>
      <w:r w:rsidRPr="00101AA5">
        <w:rPr>
          <w:sz w:val="24"/>
          <w:szCs w:val="24"/>
          <w:lang w:eastAsia="hr-HR"/>
        </w:rPr>
        <w:t xml:space="preserve">Muzej </w:t>
      </w:r>
      <w:r w:rsidR="00503EC8" w:rsidRPr="00101AA5">
        <w:rPr>
          <w:sz w:val="24"/>
          <w:szCs w:val="24"/>
          <w:lang w:eastAsia="hr-HR"/>
        </w:rPr>
        <w:t>smanjuje</w:t>
      </w:r>
      <w:r w:rsidRPr="00101AA5">
        <w:rPr>
          <w:sz w:val="24"/>
          <w:szCs w:val="24"/>
          <w:lang w:eastAsia="hr-HR"/>
        </w:rPr>
        <w:t xml:space="preserve"> rashode za </w:t>
      </w:r>
      <w:r w:rsidR="00503EC8" w:rsidRPr="00101AA5">
        <w:rPr>
          <w:sz w:val="24"/>
          <w:szCs w:val="24"/>
          <w:lang w:eastAsia="hr-HR"/>
        </w:rPr>
        <w:t>36</w:t>
      </w:r>
      <w:r w:rsidRPr="00101AA5">
        <w:rPr>
          <w:sz w:val="24"/>
          <w:szCs w:val="24"/>
          <w:lang w:eastAsia="hr-HR"/>
        </w:rPr>
        <w:t>.</w:t>
      </w:r>
      <w:r w:rsidR="00503EC8" w:rsidRPr="00101AA5">
        <w:rPr>
          <w:sz w:val="24"/>
          <w:szCs w:val="24"/>
          <w:lang w:eastAsia="hr-HR"/>
        </w:rPr>
        <w:t>7</w:t>
      </w:r>
      <w:r w:rsidRPr="00101AA5">
        <w:rPr>
          <w:sz w:val="24"/>
          <w:szCs w:val="24"/>
          <w:lang w:eastAsia="hr-HR"/>
        </w:rPr>
        <w:t xml:space="preserve">00 kn </w:t>
      </w:r>
      <w:r w:rsidR="00503EC8" w:rsidRPr="00101AA5">
        <w:rPr>
          <w:sz w:val="24"/>
          <w:szCs w:val="24"/>
          <w:lang w:eastAsia="hr-HR"/>
        </w:rPr>
        <w:t>.</w:t>
      </w:r>
    </w:p>
    <w:p w14:paraId="446D6C4F" w14:textId="77777777" w:rsidR="005563FB" w:rsidRPr="00101AA5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hr-HR"/>
        </w:rPr>
      </w:pPr>
    </w:p>
    <w:p w14:paraId="34E0E5A5" w14:textId="4B78D117" w:rsidR="005563FB" w:rsidRPr="00101AA5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hr-HR"/>
        </w:rPr>
      </w:pPr>
      <w:r w:rsidRPr="00101AA5">
        <w:rPr>
          <w:sz w:val="24"/>
          <w:szCs w:val="24"/>
          <w:lang w:eastAsia="hr-HR"/>
        </w:rPr>
        <w:t xml:space="preserve">Vrtić </w:t>
      </w:r>
      <w:r w:rsidR="00503EC8" w:rsidRPr="00101AA5">
        <w:rPr>
          <w:sz w:val="24"/>
          <w:szCs w:val="24"/>
          <w:lang w:eastAsia="hr-HR"/>
        </w:rPr>
        <w:t>povećava</w:t>
      </w:r>
      <w:r w:rsidRPr="00101AA5">
        <w:rPr>
          <w:sz w:val="24"/>
          <w:szCs w:val="24"/>
          <w:lang w:eastAsia="hr-HR"/>
        </w:rPr>
        <w:t xml:space="preserve"> rashode za </w:t>
      </w:r>
      <w:r w:rsidR="00503EC8" w:rsidRPr="00101AA5">
        <w:rPr>
          <w:sz w:val="24"/>
          <w:szCs w:val="24"/>
          <w:lang w:eastAsia="hr-HR"/>
        </w:rPr>
        <w:t>843</w:t>
      </w:r>
      <w:r w:rsidRPr="00101AA5">
        <w:rPr>
          <w:sz w:val="24"/>
          <w:szCs w:val="24"/>
          <w:lang w:eastAsia="hr-HR"/>
        </w:rPr>
        <w:t>.</w:t>
      </w:r>
      <w:r w:rsidR="00503EC8" w:rsidRPr="00101AA5">
        <w:rPr>
          <w:sz w:val="24"/>
          <w:szCs w:val="24"/>
          <w:lang w:eastAsia="hr-HR"/>
        </w:rPr>
        <w:t xml:space="preserve">200 </w:t>
      </w:r>
      <w:r w:rsidRPr="00101AA5">
        <w:rPr>
          <w:sz w:val="24"/>
          <w:szCs w:val="24"/>
          <w:lang w:eastAsia="hr-HR"/>
        </w:rPr>
        <w:t xml:space="preserve"> kn </w:t>
      </w:r>
      <w:bookmarkStart w:id="20" w:name="_Hlk55459666"/>
      <w:r w:rsidR="00101AA5" w:rsidRPr="00101AA5">
        <w:rPr>
          <w:sz w:val="24"/>
          <w:szCs w:val="24"/>
          <w:lang w:eastAsia="hr-HR"/>
        </w:rPr>
        <w:t xml:space="preserve">zbog većih rashoda za namirnice, nabavku vozila, sportske opreme, </w:t>
      </w:r>
      <w:r w:rsidRPr="00101AA5">
        <w:rPr>
          <w:sz w:val="24"/>
          <w:szCs w:val="24"/>
          <w:lang w:eastAsia="hr-HR"/>
        </w:rPr>
        <w:t>a neke stavke se preraspoređuju</w:t>
      </w:r>
      <w:bookmarkEnd w:id="20"/>
      <w:r w:rsidRPr="00101AA5">
        <w:rPr>
          <w:sz w:val="24"/>
          <w:szCs w:val="24"/>
          <w:lang w:eastAsia="hr-HR"/>
        </w:rPr>
        <w:t>.</w:t>
      </w:r>
    </w:p>
    <w:p w14:paraId="32D6C7B4" w14:textId="77777777" w:rsidR="005563FB" w:rsidRPr="00101AA5" w:rsidRDefault="005563FB" w:rsidP="005563F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hr-HR"/>
        </w:rPr>
      </w:pPr>
    </w:p>
    <w:p w14:paraId="62FC3ACA" w14:textId="48D0AD86" w:rsidR="00866974" w:rsidRPr="00101AA5" w:rsidRDefault="005563FB" w:rsidP="00A92E9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hr-HR"/>
        </w:rPr>
      </w:pPr>
      <w:r w:rsidRPr="00101AA5">
        <w:rPr>
          <w:sz w:val="24"/>
          <w:szCs w:val="24"/>
          <w:lang w:eastAsia="hr-HR"/>
        </w:rPr>
        <w:t xml:space="preserve">Javna ustanova sportski objekti </w:t>
      </w:r>
      <w:r w:rsidR="00503EC8" w:rsidRPr="00101AA5">
        <w:rPr>
          <w:sz w:val="24"/>
          <w:szCs w:val="24"/>
          <w:lang w:eastAsia="hr-HR"/>
        </w:rPr>
        <w:t>povećava</w:t>
      </w:r>
      <w:r w:rsidRPr="00101AA5">
        <w:rPr>
          <w:sz w:val="24"/>
          <w:szCs w:val="24"/>
          <w:lang w:eastAsia="hr-HR"/>
        </w:rPr>
        <w:t xml:space="preserve"> rashode za 1</w:t>
      </w:r>
      <w:r w:rsidR="00503EC8" w:rsidRPr="00101AA5">
        <w:rPr>
          <w:sz w:val="24"/>
          <w:szCs w:val="24"/>
          <w:lang w:eastAsia="hr-HR"/>
        </w:rPr>
        <w:t>53</w:t>
      </w:r>
      <w:r w:rsidRPr="00101AA5">
        <w:rPr>
          <w:sz w:val="24"/>
          <w:szCs w:val="24"/>
          <w:lang w:eastAsia="hr-HR"/>
        </w:rPr>
        <w:t>.</w:t>
      </w:r>
      <w:r w:rsidR="00503EC8" w:rsidRPr="00101AA5">
        <w:rPr>
          <w:sz w:val="24"/>
          <w:szCs w:val="24"/>
          <w:lang w:eastAsia="hr-HR"/>
        </w:rPr>
        <w:t>297</w:t>
      </w:r>
      <w:r w:rsidRPr="00101AA5">
        <w:rPr>
          <w:sz w:val="24"/>
          <w:szCs w:val="24"/>
          <w:lang w:eastAsia="hr-HR"/>
        </w:rPr>
        <w:t xml:space="preserve"> kn a neke stavke se preeraspoređuju.</w:t>
      </w:r>
      <w:bookmarkStart w:id="21" w:name="_Toc88555244"/>
    </w:p>
    <w:p w14:paraId="74D44865" w14:textId="4226BBB7" w:rsidR="005563FB" w:rsidRPr="00C027A0" w:rsidRDefault="005563FB" w:rsidP="0069710B">
      <w:pPr>
        <w:pStyle w:val="Naslov1"/>
        <w:numPr>
          <w:ilvl w:val="0"/>
          <w:numId w:val="4"/>
        </w:numPr>
        <w:rPr>
          <w:b/>
          <w:bCs/>
          <w:color w:val="auto"/>
          <w:sz w:val="28"/>
          <w:szCs w:val="28"/>
        </w:rPr>
      </w:pPr>
      <w:r w:rsidRPr="00C027A0">
        <w:rPr>
          <w:b/>
          <w:bCs/>
          <w:color w:val="auto"/>
          <w:sz w:val="28"/>
          <w:szCs w:val="28"/>
        </w:rPr>
        <w:t>OBRAZLOŽENJE POJEDINIH VRSTA PRIHODA/RASHODA</w:t>
      </w:r>
      <w:bookmarkEnd w:id="21"/>
    </w:p>
    <w:p w14:paraId="2D2492DD" w14:textId="02E0C904" w:rsidR="00671D80" w:rsidRDefault="00671D80" w:rsidP="00671D80"/>
    <w:p w14:paraId="048C3D67" w14:textId="77777777" w:rsidR="001C55DD" w:rsidRDefault="001C55DD" w:rsidP="00671D80"/>
    <w:tbl>
      <w:tblPr>
        <w:tblW w:w="9277" w:type="dxa"/>
        <w:tblLook w:val="04A0" w:firstRow="1" w:lastRow="0" w:firstColumn="1" w:lastColumn="0" w:noHBand="0" w:noVBand="1"/>
      </w:tblPr>
      <w:tblGrid>
        <w:gridCol w:w="3534"/>
        <w:gridCol w:w="1236"/>
        <w:gridCol w:w="1501"/>
        <w:gridCol w:w="1236"/>
        <w:gridCol w:w="847"/>
        <w:gridCol w:w="916"/>
        <w:gridCol w:w="7"/>
      </w:tblGrid>
      <w:tr w:rsidR="00A92E99" w:rsidRPr="00A92E99" w14:paraId="488B10C4" w14:textId="77777777" w:rsidTr="00A92E99">
        <w:trPr>
          <w:trHeight w:val="480"/>
        </w:trPr>
        <w:tc>
          <w:tcPr>
            <w:tcW w:w="9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vAlign w:val="bottom"/>
            <w:hideMark/>
          </w:tcPr>
          <w:p w14:paraId="5B6B9048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A92E99" w:rsidRPr="00A92E99" w14:paraId="1CA544CC" w14:textId="77777777" w:rsidTr="00A92E99">
        <w:trPr>
          <w:gridAfter w:val="1"/>
          <w:wAfter w:w="7" w:type="dxa"/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1DA6" w14:textId="77777777" w:rsidR="00A92E99" w:rsidRPr="00A92E99" w:rsidRDefault="00A92E99" w:rsidP="00A92E9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Grupa konta/naziv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391A" w14:textId="77777777" w:rsidR="00A92E99" w:rsidRPr="00A92E99" w:rsidRDefault="00A92E99" w:rsidP="00A92E9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PLAN 2021.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88571" w14:textId="77777777" w:rsidR="00A92E99" w:rsidRPr="00A92E99" w:rsidRDefault="00A92E99" w:rsidP="00A92E9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Razlika 2022-2021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2894" w14:textId="77777777" w:rsidR="00A92E99" w:rsidRPr="00A92E99" w:rsidRDefault="00A92E99" w:rsidP="00A92E9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PLAN 2022.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57827" w14:textId="77777777" w:rsidR="00A92E99" w:rsidRPr="00A92E99" w:rsidRDefault="00A92E99" w:rsidP="00A92E9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Indeks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3F4776" w14:textId="77777777" w:rsidR="00A92E99" w:rsidRPr="00A92E99" w:rsidRDefault="00A92E99" w:rsidP="00A92E9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Udjel</w:t>
            </w:r>
          </w:p>
        </w:tc>
      </w:tr>
      <w:tr w:rsidR="00A92E99" w:rsidRPr="00A92E99" w14:paraId="36A57A8F" w14:textId="77777777" w:rsidTr="00A92E99">
        <w:trPr>
          <w:gridAfter w:val="1"/>
          <w:wAfter w:w="7" w:type="dxa"/>
          <w:trHeight w:val="315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122A" w14:textId="77777777" w:rsidR="00A92E99" w:rsidRPr="00A92E99" w:rsidRDefault="00A92E99" w:rsidP="00A92E9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96BF" w14:textId="77777777" w:rsidR="00A92E99" w:rsidRPr="00A92E99" w:rsidRDefault="00A92E99" w:rsidP="00A92E9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EDC8" w14:textId="77777777" w:rsidR="00A92E99" w:rsidRPr="00A92E99" w:rsidRDefault="00A92E99" w:rsidP="00A92E9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0E0A" w14:textId="77777777" w:rsidR="00A92E99" w:rsidRPr="00A92E99" w:rsidRDefault="00A92E99" w:rsidP="00A92E9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B5D30" w14:textId="77777777" w:rsidR="00A92E99" w:rsidRPr="00A92E99" w:rsidRDefault="00A92E99" w:rsidP="00A92E9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4/2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2E62F" w14:textId="77777777" w:rsidR="00A92E99" w:rsidRPr="00A92E99" w:rsidRDefault="00A92E99" w:rsidP="00A92E9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92E99" w:rsidRPr="00A92E99" w14:paraId="3B37B6C2" w14:textId="77777777" w:rsidTr="00A92E99">
        <w:trPr>
          <w:gridAfter w:val="1"/>
          <w:wAfter w:w="7" w:type="dxa"/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7F7E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6. PRIHODI POSLOVANJA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B973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203.365.210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3EDB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-5.337.310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1560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198.027.900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5D818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97,38%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FF0DB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99,14%</w:t>
            </w:r>
          </w:p>
        </w:tc>
      </w:tr>
      <w:tr w:rsidR="00A92E99" w:rsidRPr="00A92E99" w14:paraId="76D80B19" w14:textId="77777777" w:rsidTr="00A92E99">
        <w:trPr>
          <w:gridAfter w:val="1"/>
          <w:wAfter w:w="7" w:type="dxa"/>
          <w:trHeight w:val="52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08F7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7. PRIHODI OD PRODAJE NEFINANCIJSKE IMOVINE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D96E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1.202.100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0170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-1.002.100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1387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F2D55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16,64%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B097D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0,10%</w:t>
            </w:r>
          </w:p>
        </w:tc>
      </w:tr>
      <w:tr w:rsidR="00A92E99" w:rsidRPr="00A92E99" w14:paraId="0F715A49" w14:textId="77777777" w:rsidTr="00A92E99">
        <w:trPr>
          <w:gridAfter w:val="1"/>
          <w:wAfter w:w="7" w:type="dxa"/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C6AD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B9C7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204.567.310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0CD2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-6.339.410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7BC7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198.227.900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D5091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96,90%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8C243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99,24%</w:t>
            </w:r>
          </w:p>
        </w:tc>
      </w:tr>
      <w:tr w:rsidR="00A92E99" w:rsidRPr="00A92E99" w14:paraId="501DF92D" w14:textId="77777777" w:rsidTr="00A92E99">
        <w:trPr>
          <w:gridAfter w:val="1"/>
          <w:wAfter w:w="7" w:type="dxa"/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631C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3. RASHODI POSLOVANJA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F2AD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160.634.105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B7F4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-13.248.005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F511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147.386.100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85674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91,75%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992B4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77,27%</w:t>
            </w:r>
          </w:p>
        </w:tc>
      </w:tr>
      <w:tr w:rsidR="00A92E99" w:rsidRPr="00A92E99" w14:paraId="11FF9392" w14:textId="77777777" w:rsidTr="00A92E99">
        <w:trPr>
          <w:gridAfter w:val="1"/>
          <w:wAfter w:w="7" w:type="dxa"/>
          <w:trHeight w:val="52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21DE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4. RASHODI ZA NABAVU NEFINANCIJSKE IMOVINE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186B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60.583.910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8163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-25.023.360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7581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35.560.550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294BA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58,70%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08CA0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18,64%</w:t>
            </w:r>
          </w:p>
        </w:tc>
      </w:tr>
      <w:tr w:rsidR="00A92E99" w:rsidRPr="00A92E99" w14:paraId="2581D3F7" w14:textId="77777777" w:rsidTr="00A92E99">
        <w:trPr>
          <w:gridAfter w:val="1"/>
          <w:wAfter w:w="7" w:type="dxa"/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F96B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4C40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221.218.015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E694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-38.271.365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7F81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182.946.650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83321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82,70%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E6CD4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95,91%</w:t>
            </w:r>
          </w:p>
        </w:tc>
      </w:tr>
      <w:tr w:rsidR="00A92E99" w:rsidRPr="00A92E99" w14:paraId="66AD2746" w14:textId="77777777" w:rsidTr="00A92E99">
        <w:trPr>
          <w:gridAfter w:val="1"/>
          <w:wAfter w:w="7" w:type="dxa"/>
          <w:trHeight w:val="403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D6122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RAZLIKA PRIHODA I RASHODA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03E3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-16.650.705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C739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31.931.955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BE0B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15.281.250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F969E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-91,78%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21784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92E99" w:rsidRPr="00A92E99" w14:paraId="7AB82F01" w14:textId="77777777" w:rsidTr="00A92E99">
        <w:trPr>
          <w:trHeight w:val="495"/>
        </w:trPr>
        <w:tc>
          <w:tcPr>
            <w:tcW w:w="9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vAlign w:val="bottom"/>
            <w:hideMark/>
          </w:tcPr>
          <w:p w14:paraId="1BC8A03E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A92E99" w:rsidRPr="00A92E99" w14:paraId="139EFB9A" w14:textId="77777777" w:rsidTr="00A92E99">
        <w:trPr>
          <w:gridAfter w:val="1"/>
          <w:wAfter w:w="7" w:type="dxa"/>
          <w:trHeight w:val="60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3A52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8.PRIMICI OD FINANCIJSKE IMOVINE I ZADUŽIVANJA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0021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CF80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1.518.750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2F59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1.518.750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15EF8" w14:textId="77777777" w:rsidR="00A92E99" w:rsidRPr="00A92E99" w:rsidRDefault="00A92E99" w:rsidP="00A92E9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530D5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0,76%</w:t>
            </w:r>
          </w:p>
        </w:tc>
      </w:tr>
      <w:tr w:rsidR="00A92E99" w:rsidRPr="00A92E99" w14:paraId="6D963448" w14:textId="77777777" w:rsidTr="00A92E99">
        <w:trPr>
          <w:gridAfter w:val="1"/>
          <w:wAfter w:w="7" w:type="dxa"/>
          <w:trHeight w:val="5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FA78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5.IZDACI ZA FINANCIJSKU IMOVINU I OTPLATE ZAJMOVA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A64A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10.000.000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48FD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-2.200.000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DF29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7.800.000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10C26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78,00%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BE8FE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4,09%</w:t>
            </w:r>
          </w:p>
        </w:tc>
      </w:tr>
      <w:tr w:rsidR="00A92E99" w:rsidRPr="00A92E99" w14:paraId="2D661676" w14:textId="77777777" w:rsidTr="00A92E99">
        <w:trPr>
          <w:gridAfter w:val="1"/>
          <w:wAfter w:w="7" w:type="dxa"/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B075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RAZLIKA (VIŠAK+/MANJAK-)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4D8C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-10.000.000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D3EB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3.718.750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B2F7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-6.281.250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D8A58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A92E99">
              <w:rPr>
                <w:rFonts w:cs="Calibri"/>
                <w:color w:val="000000"/>
                <w:sz w:val="16"/>
                <w:szCs w:val="16"/>
                <w:lang w:eastAsia="hr-HR"/>
              </w:rPr>
              <w:t>62,81%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118EE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92E99" w:rsidRPr="00A92E99" w14:paraId="6B2ADB8B" w14:textId="77777777" w:rsidTr="00A92E99">
        <w:trPr>
          <w:trHeight w:val="540"/>
        </w:trPr>
        <w:tc>
          <w:tcPr>
            <w:tcW w:w="927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bottom"/>
            <w:hideMark/>
          </w:tcPr>
          <w:p w14:paraId="407888F4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4"/>
                <w:szCs w:val="24"/>
                <w:lang w:eastAsia="hr-HR"/>
              </w:rPr>
              <w:t>C. UKUPNO PRORAČUN GRADA</w:t>
            </w:r>
          </w:p>
        </w:tc>
      </w:tr>
      <w:tr w:rsidR="00A92E99" w:rsidRPr="00A92E99" w14:paraId="0EB6651A" w14:textId="77777777" w:rsidTr="00A92E99">
        <w:trPr>
          <w:gridAfter w:val="1"/>
          <w:wAfter w:w="7" w:type="dxa"/>
          <w:trHeight w:val="300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5AB4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A92E99">
              <w:rPr>
                <w:rFonts w:cs="Calibri"/>
                <w:color w:val="000000"/>
                <w:lang w:eastAsia="hr-HR"/>
              </w:rPr>
              <w:t>UKUPNI PRIHODI I PRIMICI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AB4C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204.567.310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3869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-4.820.660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D7A7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199.746.650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14C3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97,64%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C3050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A92E99" w:rsidRPr="00A92E99" w14:paraId="64684FE0" w14:textId="77777777" w:rsidTr="00A92E99">
        <w:trPr>
          <w:gridAfter w:val="1"/>
          <w:wAfter w:w="7" w:type="dxa"/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49A0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A92E99">
              <w:rPr>
                <w:rFonts w:cs="Calibri"/>
                <w:color w:val="000000"/>
                <w:lang w:eastAsia="hr-HR"/>
              </w:rPr>
              <w:t>UKUPNI RASHODI I IZDACI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34EC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231.218.015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2B9B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-40.471.365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CC79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190.746.650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1EC4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82,50%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C12C1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A92E99" w:rsidRPr="00A92E99" w14:paraId="0A1B5B81" w14:textId="77777777" w:rsidTr="00A92E99">
        <w:trPr>
          <w:gridAfter w:val="1"/>
          <w:wAfter w:w="7" w:type="dxa"/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3572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A92E99">
              <w:rPr>
                <w:rFonts w:cs="Calibri"/>
                <w:color w:val="000000"/>
                <w:lang w:eastAsia="hr-HR"/>
              </w:rPr>
              <w:t>RAZLIKA (VIŠAK+/MANJAK-)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0D90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-26.650.705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1B2A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35.650.705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E988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color w:val="000000"/>
                <w:sz w:val="20"/>
                <w:szCs w:val="20"/>
                <w:lang w:eastAsia="hr-HR"/>
              </w:rPr>
              <w:t>9.000.000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E6FC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-33,77%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856EC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92E99" w:rsidRPr="00A92E99" w14:paraId="72AA1E39" w14:textId="77777777" w:rsidTr="00A92E99">
        <w:trPr>
          <w:gridAfter w:val="1"/>
          <w:wAfter w:w="7" w:type="dxa"/>
          <w:trHeight w:val="691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20714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A92E99">
              <w:rPr>
                <w:rFonts w:cs="Calibri"/>
                <w:color w:val="000000"/>
                <w:lang w:eastAsia="hr-HR"/>
              </w:rPr>
              <w:t>DONOS IZ PRETHODNIH GODINA/RAZDOBLJA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7257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26.650.705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58E8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-35.650.705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AC4D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b/>
                <w:bCs/>
                <w:sz w:val="20"/>
                <w:szCs w:val="20"/>
                <w:lang w:eastAsia="hr-HR"/>
              </w:rPr>
              <w:t>-9.000.000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CEA7" w14:textId="77777777" w:rsidR="00A92E99" w:rsidRPr="00A92E99" w:rsidRDefault="00A92E99" w:rsidP="00A92E9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-33,77%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2BDD9" w14:textId="77777777" w:rsidR="00A92E99" w:rsidRPr="00A92E99" w:rsidRDefault="00A92E99" w:rsidP="00A92E9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A92E99">
              <w:rPr>
                <w:rFonts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48D912A2" w14:textId="77777777" w:rsidR="006F4ACD" w:rsidRDefault="006F4ACD" w:rsidP="005563FB">
      <w:pPr>
        <w:rPr>
          <w:rFonts w:asciiTheme="minorHAnsi" w:eastAsia="Calibri" w:hAnsiTheme="minorHAnsi" w:cs="Calibri"/>
        </w:rPr>
      </w:pPr>
    </w:p>
    <w:p w14:paraId="628519FF" w14:textId="0779059D" w:rsidR="00E0529B" w:rsidRPr="003844B0" w:rsidRDefault="003844B0" w:rsidP="005563FB">
      <w:pPr>
        <w:rPr>
          <w:rFonts w:asciiTheme="minorHAnsi" w:eastAsia="Calibri" w:hAnsiTheme="minorHAnsi" w:cs="Calibri"/>
        </w:rPr>
      </w:pPr>
      <w:r w:rsidRPr="003844B0">
        <w:rPr>
          <w:rFonts w:asciiTheme="minorHAnsi" w:eastAsia="Calibri" w:hAnsiTheme="minorHAnsi" w:cs="Calibri"/>
        </w:rPr>
        <w:t>U nast</w:t>
      </w:r>
      <w:r>
        <w:rPr>
          <w:rFonts w:asciiTheme="minorHAnsi" w:eastAsia="Calibri" w:hAnsiTheme="minorHAnsi" w:cs="Calibri"/>
        </w:rPr>
        <w:t>a</w:t>
      </w:r>
      <w:r w:rsidRPr="003844B0">
        <w:rPr>
          <w:rFonts w:asciiTheme="minorHAnsi" w:eastAsia="Calibri" w:hAnsiTheme="minorHAnsi" w:cs="Calibri"/>
        </w:rPr>
        <w:t>vku</w:t>
      </w:r>
      <w:r>
        <w:rPr>
          <w:rFonts w:asciiTheme="minorHAnsi" w:eastAsia="Calibri" w:hAnsiTheme="minorHAnsi" w:cs="Calibri"/>
        </w:rPr>
        <w:t xml:space="preserve"> će biti detaljnije obrazloženi planirani prihodi i primici te rashodi i izdaci.</w:t>
      </w:r>
    </w:p>
    <w:p w14:paraId="0252DC13" w14:textId="77777777" w:rsidR="00E0529B" w:rsidRPr="00E0529B" w:rsidRDefault="00E0529B" w:rsidP="00E0529B">
      <w:pPr>
        <w:rPr>
          <w:lang w:eastAsia="hr-HR"/>
        </w:rPr>
      </w:pPr>
    </w:p>
    <w:p w14:paraId="3FD17BAD" w14:textId="77777777" w:rsidR="005563FB" w:rsidRPr="00C027A0" w:rsidRDefault="00B25B3D" w:rsidP="005563FB">
      <w:pPr>
        <w:pStyle w:val="Naslov2"/>
        <w:rPr>
          <w:sz w:val="26"/>
          <w:szCs w:val="26"/>
        </w:rPr>
      </w:pPr>
      <w:bookmarkStart w:id="22" w:name="_Toc88555245"/>
      <w:r w:rsidRPr="00C027A0">
        <w:rPr>
          <w:sz w:val="26"/>
          <w:szCs w:val="26"/>
        </w:rPr>
        <w:t xml:space="preserve">3.1. </w:t>
      </w:r>
      <w:r w:rsidR="005563FB" w:rsidRPr="00C027A0">
        <w:rPr>
          <w:sz w:val="26"/>
          <w:szCs w:val="26"/>
        </w:rPr>
        <w:t>PRIHODI I PRIMICI</w:t>
      </w:r>
      <w:bookmarkEnd w:id="22"/>
    </w:p>
    <w:p w14:paraId="62826D38" w14:textId="77777777" w:rsidR="005563FB" w:rsidRPr="005563FB" w:rsidRDefault="005563FB" w:rsidP="005563FB">
      <w:pPr>
        <w:widowControl w:val="0"/>
        <w:suppressAutoHyphens/>
        <w:spacing w:after="0" w:line="240" w:lineRule="auto"/>
        <w:rPr>
          <w:rFonts w:asciiTheme="minorHAnsi" w:eastAsia="Calibri" w:hAnsiTheme="minorHAnsi" w:cs="Calibri"/>
          <w:b/>
          <w:bCs/>
        </w:rPr>
      </w:pPr>
    </w:p>
    <w:p w14:paraId="40A4F83A" w14:textId="55D9A5B3" w:rsidR="005563FB" w:rsidRDefault="005563FB" w:rsidP="005563FB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="Calibri"/>
        </w:rPr>
      </w:pPr>
      <w:r w:rsidRPr="005563FB">
        <w:rPr>
          <w:rFonts w:asciiTheme="minorHAnsi" w:eastAsia="Calibri" w:hAnsiTheme="minorHAnsi" w:cs="Calibri"/>
        </w:rPr>
        <w:t xml:space="preserve">Prihodi poslovanja se planiraju u iznosu od </w:t>
      </w:r>
      <w:r w:rsidR="008A4081" w:rsidRPr="008A4081">
        <w:rPr>
          <w:rFonts w:asciiTheme="minorHAnsi" w:eastAsia="Calibri" w:hAnsiTheme="minorHAnsi" w:cs="Calibri"/>
        </w:rPr>
        <w:t>198.027.900</w:t>
      </w:r>
      <w:r w:rsidRPr="005563FB">
        <w:rPr>
          <w:rFonts w:asciiTheme="minorHAnsi" w:eastAsia="Calibri" w:hAnsiTheme="minorHAnsi" w:cs="Calibri"/>
        </w:rPr>
        <w:t xml:space="preserve"> kn te su za </w:t>
      </w:r>
      <w:r w:rsidR="008A4081">
        <w:rPr>
          <w:rFonts w:asciiTheme="minorHAnsi" w:eastAsia="Calibri" w:hAnsiTheme="minorHAnsi" w:cs="Calibri"/>
        </w:rPr>
        <w:t>2</w:t>
      </w:r>
      <w:r w:rsidRPr="005563FB">
        <w:rPr>
          <w:rFonts w:asciiTheme="minorHAnsi" w:eastAsia="Calibri" w:hAnsiTheme="minorHAnsi" w:cs="Calibri"/>
        </w:rPr>
        <w:t>,</w:t>
      </w:r>
      <w:r w:rsidR="008A4081">
        <w:rPr>
          <w:rFonts w:asciiTheme="minorHAnsi" w:eastAsia="Calibri" w:hAnsiTheme="minorHAnsi" w:cs="Calibri"/>
        </w:rPr>
        <w:t>62</w:t>
      </w:r>
      <w:r w:rsidRPr="005563FB">
        <w:rPr>
          <w:rFonts w:asciiTheme="minorHAnsi" w:eastAsia="Calibri" w:hAnsiTheme="minorHAnsi" w:cs="Calibri"/>
        </w:rPr>
        <w:t xml:space="preserve"> % </w:t>
      </w:r>
      <w:r w:rsidR="008A4081">
        <w:rPr>
          <w:rFonts w:asciiTheme="minorHAnsi" w:eastAsia="Calibri" w:hAnsiTheme="minorHAnsi" w:cs="Calibri"/>
        </w:rPr>
        <w:t>manji</w:t>
      </w:r>
      <w:r w:rsidRPr="005563FB">
        <w:rPr>
          <w:rFonts w:asciiTheme="minorHAnsi" w:eastAsia="Calibri" w:hAnsiTheme="minorHAnsi" w:cs="Calibri"/>
        </w:rPr>
        <w:t xml:space="preserve"> nego plan 202</w:t>
      </w:r>
      <w:r w:rsidR="008A4081">
        <w:rPr>
          <w:rFonts w:asciiTheme="minorHAnsi" w:eastAsia="Calibri" w:hAnsiTheme="minorHAnsi" w:cs="Calibri"/>
        </w:rPr>
        <w:t>1</w:t>
      </w:r>
      <w:r w:rsidRPr="005563FB">
        <w:rPr>
          <w:rFonts w:asciiTheme="minorHAnsi" w:eastAsia="Calibri" w:hAnsiTheme="minorHAnsi" w:cs="Calibri"/>
        </w:rPr>
        <w:t>.godine a čine 9</w:t>
      </w:r>
      <w:r w:rsidR="008A4081">
        <w:rPr>
          <w:rFonts w:asciiTheme="minorHAnsi" w:eastAsia="Calibri" w:hAnsiTheme="minorHAnsi" w:cs="Calibri"/>
        </w:rPr>
        <w:t>9</w:t>
      </w:r>
      <w:r w:rsidRPr="005563FB">
        <w:rPr>
          <w:rFonts w:asciiTheme="minorHAnsi" w:eastAsia="Calibri" w:hAnsiTheme="minorHAnsi" w:cs="Calibri"/>
        </w:rPr>
        <w:t>,1</w:t>
      </w:r>
      <w:r w:rsidR="008A4081">
        <w:rPr>
          <w:rFonts w:asciiTheme="minorHAnsi" w:eastAsia="Calibri" w:hAnsiTheme="minorHAnsi" w:cs="Calibri"/>
        </w:rPr>
        <w:t>4</w:t>
      </w:r>
      <w:r w:rsidRPr="005563FB">
        <w:rPr>
          <w:rFonts w:asciiTheme="minorHAnsi" w:eastAsia="Calibri" w:hAnsiTheme="minorHAnsi" w:cs="Calibri"/>
        </w:rPr>
        <w:t xml:space="preserve"> % ukupnih prihoda i primitaka, dok prihodi od prodaje nefinancijske imovine čine 0,</w:t>
      </w:r>
      <w:r w:rsidR="008A4081">
        <w:rPr>
          <w:rFonts w:asciiTheme="minorHAnsi" w:eastAsia="Calibri" w:hAnsiTheme="minorHAnsi" w:cs="Calibri"/>
        </w:rPr>
        <w:t>1</w:t>
      </w:r>
      <w:r w:rsidRPr="005563FB">
        <w:rPr>
          <w:rFonts w:asciiTheme="minorHAnsi" w:eastAsia="Calibri" w:hAnsiTheme="minorHAnsi" w:cs="Calibri"/>
        </w:rPr>
        <w:t xml:space="preserve">0 % a primici od financijske imovine i zaduživanja čine </w:t>
      </w:r>
      <w:r w:rsidR="008A4081">
        <w:rPr>
          <w:rFonts w:asciiTheme="minorHAnsi" w:eastAsia="Calibri" w:hAnsiTheme="minorHAnsi" w:cs="Calibri"/>
        </w:rPr>
        <w:t>0</w:t>
      </w:r>
      <w:r w:rsidRPr="005563FB">
        <w:rPr>
          <w:rFonts w:asciiTheme="minorHAnsi" w:eastAsia="Calibri" w:hAnsiTheme="minorHAnsi" w:cs="Calibri"/>
        </w:rPr>
        <w:t>,</w:t>
      </w:r>
      <w:r w:rsidR="008A4081">
        <w:rPr>
          <w:rFonts w:asciiTheme="minorHAnsi" w:eastAsia="Calibri" w:hAnsiTheme="minorHAnsi" w:cs="Calibri"/>
        </w:rPr>
        <w:t>76</w:t>
      </w:r>
      <w:r w:rsidRPr="005563FB">
        <w:rPr>
          <w:rFonts w:asciiTheme="minorHAnsi" w:eastAsia="Calibri" w:hAnsiTheme="minorHAnsi" w:cs="Calibri"/>
        </w:rPr>
        <w:t xml:space="preserve"> % ukupnih prihoda i primitaka.</w:t>
      </w:r>
    </w:p>
    <w:p w14:paraId="19B69507" w14:textId="131C4C93" w:rsidR="001C55DD" w:rsidRDefault="001C55DD" w:rsidP="005563FB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="Calibri"/>
        </w:rPr>
      </w:pPr>
    </w:p>
    <w:p w14:paraId="3FB257B1" w14:textId="77777777" w:rsidR="001C55DD" w:rsidRDefault="001C55DD" w:rsidP="005563FB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="Calibri"/>
        </w:rPr>
      </w:pPr>
    </w:p>
    <w:p w14:paraId="22F09715" w14:textId="77777777" w:rsidR="001C55DD" w:rsidRPr="005563FB" w:rsidRDefault="001C55DD" w:rsidP="005563FB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="Calibri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624"/>
        <w:gridCol w:w="4191"/>
        <w:gridCol w:w="1032"/>
        <w:gridCol w:w="952"/>
        <w:gridCol w:w="1032"/>
        <w:gridCol w:w="811"/>
        <w:gridCol w:w="851"/>
      </w:tblGrid>
      <w:tr w:rsidR="00853505" w:rsidRPr="00853505" w14:paraId="2AEEF79A" w14:textId="77777777" w:rsidTr="00853505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04F95C" w14:textId="77777777" w:rsidR="00853505" w:rsidRPr="00853505" w:rsidRDefault="00853505" w:rsidP="008535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sz w:val="16"/>
                <w:szCs w:val="16"/>
                <w:lang w:eastAsia="hr-HR"/>
              </w:rPr>
              <w:t>Račun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DEFF88" w14:textId="77777777" w:rsidR="00853505" w:rsidRPr="00853505" w:rsidRDefault="00853505" w:rsidP="008535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FDFEB0" w14:textId="77777777" w:rsidR="00853505" w:rsidRPr="00853505" w:rsidRDefault="00853505" w:rsidP="008535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sz w:val="16"/>
                <w:szCs w:val="16"/>
                <w:lang w:eastAsia="hr-HR"/>
              </w:rPr>
              <w:t>Plan 2021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F20908F" w14:textId="77777777" w:rsidR="00853505" w:rsidRPr="00853505" w:rsidRDefault="00853505" w:rsidP="008535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sz w:val="16"/>
                <w:szCs w:val="16"/>
                <w:lang w:eastAsia="hr-HR"/>
              </w:rPr>
              <w:t>Razlika 2022-2021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56AA00" w14:textId="77777777" w:rsidR="00853505" w:rsidRPr="00853505" w:rsidRDefault="00853505" w:rsidP="008535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sz w:val="16"/>
                <w:szCs w:val="16"/>
                <w:lang w:eastAsia="hr-HR"/>
              </w:rPr>
              <w:t>Plan 2022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AC472C7" w14:textId="77777777" w:rsidR="00853505" w:rsidRPr="00853505" w:rsidRDefault="00853505" w:rsidP="008535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741FA6" w14:textId="77777777" w:rsidR="00853505" w:rsidRPr="00853505" w:rsidRDefault="00853505" w:rsidP="008535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sz w:val="16"/>
                <w:szCs w:val="16"/>
                <w:lang w:eastAsia="hr-HR"/>
              </w:rPr>
              <w:t>Udjel 2022.</w:t>
            </w:r>
          </w:p>
        </w:tc>
      </w:tr>
      <w:tr w:rsidR="00853505" w:rsidRPr="00853505" w14:paraId="05F1C3CF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8FAF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0404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E651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91.475.000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9B9A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3.340.000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252F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94.815.000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56D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103,65%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6021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47,47%</w:t>
            </w:r>
          </w:p>
        </w:tc>
      </w:tr>
      <w:tr w:rsidR="00853505" w:rsidRPr="00853505" w14:paraId="3BEB60CC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8C61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611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3736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Porez i prirez na dohodak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E184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79.760.000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690F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240.000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31B2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80.000.000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8447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100,30%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997F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40,05%</w:t>
            </w:r>
          </w:p>
        </w:tc>
      </w:tr>
      <w:tr w:rsidR="00853505" w:rsidRPr="00853505" w14:paraId="445023B2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4CC6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613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1986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Porezi na imovinu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2276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11.100.000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0193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2.400.000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5637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13.500.000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78D0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121,62%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8E92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6,76%</w:t>
            </w:r>
          </w:p>
        </w:tc>
      </w:tr>
      <w:tr w:rsidR="00853505" w:rsidRPr="00853505" w14:paraId="233331D7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4765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614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BE77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Porezi na robu i usluge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ADBA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605.000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91E3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78B9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1.305.000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2116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215,70%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EE3B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0,65%</w:t>
            </w:r>
          </w:p>
        </w:tc>
      </w:tr>
      <w:tr w:rsidR="00853505" w:rsidRPr="00853505" w14:paraId="23685011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D640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616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4A97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Ostali prihodi od poreza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47B7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0E8C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ED3F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624D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0AB4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0,01%</w:t>
            </w:r>
          </w:p>
        </w:tc>
      </w:tr>
      <w:tr w:rsidR="00853505" w:rsidRPr="00853505" w14:paraId="50924DCA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6A40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FD6E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3942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45.067.102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59B8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-7.685.302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98EC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37.381.800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6E99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82,95%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CDC2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18,71%</w:t>
            </w:r>
          </w:p>
        </w:tc>
      </w:tr>
      <w:tr w:rsidR="00853505" w:rsidRPr="00853505" w14:paraId="45CFF7D9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0EB5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632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04CE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Pomoći od međunarodnih organizacija te institucija i tijela EU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1E84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3.593.000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72F7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-1.768.000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2C60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1.825.000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0CA8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50,79%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6232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0,91%</w:t>
            </w:r>
          </w:p>
        </w:tc>
      </w:tr>
      <w:tr w:rsidR="00853505" w:rsidRPr="00853505" w14:paraId="77A9DED2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17F2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633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9021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Pomoći proračunu iz drugih proračuna i izvanproračunskim korisnicima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2D70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22.040.000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E74C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1EA3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21.690.000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0663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98,41%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067E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10,86%</w:t>
            </w:r>
          </w:p>
        </w:tc>
      </w:tr>
      <w:tr w:rsidR="00853505" w:rsidRPr="00853505" w14:paraId="0CCCB5CA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1054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634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520A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Pomoći od izvanproračunskih korisnika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1635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6.973.200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E186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-473.200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854E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E0F2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93,21%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750F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3,25%</w:t>
            </w:r>
          </w:p>
        </w:tc>
      </w:tr>
      <w:tr w:rsidR="00853505" w:rsidRPr="00853505" w14:paraId="23CDACC5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CB18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635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0DA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Pomoći izravnanja za decentralizirane funkcije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0976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1.750.000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CB89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-1.750.000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0E2D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B229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9242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53505" w:rsidRPr="00853505" w14:paraId="7EB6B9D9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BD49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6A72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517C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432.800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D31E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81.500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1444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514.300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63E6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118,83%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374F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0,26%</w:t>
            </w:r>
          </w:p>
        </w:tc>
      </w:tr>
      <w:tr w:rsidR="00853505" w:rsidRPr="00853505" w14:paraId="410A29A0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A61B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1F6B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Pomoći  temeljem prijenosa EU sredstava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1BE5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10.278.102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F9BC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-3.425.602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5718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6.852.500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1D97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66,67%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1D05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3,43%</w:t>
            </w:r>
          </w:p>
        </w:tc>
      </w:tr>
      <w:tr w:rsidR="00853505" w:rsidRPr="00853505" w14:paraId="20CFCB48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ACAD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429D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4BBE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6.401.800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6F2C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509.300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B8D7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6.911.100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B904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107,96%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AF09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3,46%</w:t>
            </w:r>
          </w:p>
        </w:tc>
      </w:tr>
      <w:tr w:rsidR="00853505" w:rsidRPr="00853505" w14:paraId="34A3EC16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48EB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4F51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9823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111.000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5C05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100.100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F579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211.100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EBA4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190,18%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AD65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0,11%</w:t>
            </w:r>
          </w:p>
        </w:tc>
      </w:tr>
      <w:tr w:rsidR="00853505" w:rsidRPr="00853505" w14:paraId="1EC1002E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CD27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642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1DBF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F44B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6.290.800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94CD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409.200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2EC0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6.700.000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5104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106,50%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FB6C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3,35%</w:t>
            </w:r>
          </w:p>
        </w:tc>
      </w:tr>
      <w:tr w:rsidR="00853505" w:rsidRPr="00853505" w14:paraId="45585940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A30D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085B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Prihodi od administrativnih pristojbi i po posebnim propisima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74C8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56.989.665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01E2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-1.348.265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2427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55.641.400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B91F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97,63%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A2A4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27,86%</w:t>
            </w:r>
          </w:p>
        </w:tc>
      </w:tr>
      <w:tr w:rsidR="00853505" w:rsidRPr="00853505" w14:paraId="76629ABF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C6C3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651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0DD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Administrativne (upravne) pristojbe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C8F3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1.650.000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E3E1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DACB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1.950.000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9674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118,18%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D1E1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0,98%</w:t>
            </w:r>
          </w:p>
        </w:tc>
      </w:tr>
      <w:tr w:rsidR="00853505" w:rsidRPr="00853505" w14:paraId="28D843CC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94D0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BA1E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E079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14.429.665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580C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-3.748.265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B93F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10.681.400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8D83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74,02%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BC72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5,35%</w:t>
            </w:r>
          </w:p>
        </w:tc>
      </w:tr>
      <w:tr w:rsidR="00853505" w:rsidRPr="00853505" w14:paraId="654A8575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AF8C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653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3772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Komunalni doprinosi i naknade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E2FC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40.910.000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BDD5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2.100.000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5796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43.010.000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1313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105,13%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83DD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21,53%</w:t>
            </w:r>
          </w:p>
        </w:tc>
      </w:tr>
      <w:tr w:rsidR="00853505" w:rsidRPr="00853505" w14:paraId="54486585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C0FA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311B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9D11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3.011.643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8138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-261.043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3EB3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2.750.600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2E84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91,33%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87D3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1,38%</w:t>
            </w:r>
          </w:p>
        </w:tc>
      </w:tr>
      <w:tr w:rsidR="00853505" w:rsidRPr="00853505" w14:paraId="4EA4FA71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7E2C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5C8A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EC08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1.325.643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B6D6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-25.043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17F7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1.300.600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51F8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98,11%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7EDE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0,65%</w:t>
            </w:r>
          </w:p>
        </w:tc>
      </w:tr>
      <w:tr w:rsidR="00853505" w:rsidRPr="00853505" w14:paraId="7FF0C951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9B31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6DFB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Donacije od pravnih i fizičkih osoba izvan općeg proračuna i povrat donacija po protestiranim jamstvima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2574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1.686.000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A2F0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-236.000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BC30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1.450.000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3F99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86,00%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B955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0,73%</w:t>
            </w:r>
          </w:p>
        </w:tc>
      </w:tr>
      <w:tr w:rsidR="00853505" w:rsidRPr="00853505" w14:paraId="15E2EA13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27A7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1BFD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Kazne, upravne pristojbe i ostali prihodi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AF73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420.000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8FE5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108.000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F1BF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528.000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1702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125,71%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93C6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0,26%</w:t>
            </w:r>
          </w:p>
        </w:tc>
      </w:tr>
      <w:tr w:rsidR="00853505" w:rsidRPr="00853505" w14:paraId="6B40E3CC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97E5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681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007D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Kazne i upravne pristojbe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7C25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320.000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953F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108.000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6AD5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428.000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11CB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133,75%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7D39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0,21%</w:t>
            </w:r>
          </w:p>
        </w:tc>
      </w:tr>
      <w:tr w:rsidR="00853505" w:rsidRPr="00853505" w14:paraId="37C19AA9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FF1F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683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2565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8B6D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B879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FF09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A028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1EF6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853505" w:rsidRPr="00853505" w14:paraId="3189D5C8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1053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0C35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Prihodi od prodaje neproizvedene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0EBE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5F6B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-900.000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8840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ED2B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765E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853505" w:rsidRPr="00853505" w14:paraId="048173B8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2723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711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1625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materijalne imovine - prirodnih bogatstava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7EA0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C3A0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-900.000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A293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A5E4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D00D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853505" w:rsidRPr="00853505" w14:paraId="3EEE5CC3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0A05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5A26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5939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202.100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8506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-102.100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FC31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B972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49,48%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157E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853505" w:rsidRPr="00853505" w14:paraId="259EC4FA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8472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00ED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5314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C49D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842B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2F64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50,00%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CF48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0,05%</w:t>
            </w:r>
          </w:p>
        </w:tc>
      </w:tr>
      <w:tr w:rsidR="00853505" w:rsidRPr="00853505" w14:paraId="0D7960D1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7569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722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2362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Prihodi od prodaje postrojenja i opreme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4DD9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2.100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89B9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-2.100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5CD7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8DC1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034B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53505" w:rsidRPr="00853505" w14:paraId="01E601D4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DC1D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0220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6B4F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5578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1.518.750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B709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1.518.750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A7F6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8472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0,76%</w:t>
            </w:r>
          </w:p>
        </w:tc>
      </w:tr>
      <w:tr w:rsidR="00853505" w:rsidRPr="00853505" w14:paraId="3222B1AB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D198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844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9B2D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Primljeni zajmovi od kreditnih i ostalih financijskih institucija izvan javnog sektora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C792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E4AF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1.518.750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F3B3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1.518.750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09F8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5752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color w:val="000000"/>
                <w:sz w:val="16"/>
                <w:szCs w:val="16"/>
                <w:lang w:eastAsia="hr-HR"/>
              </w:rPr>
              <w:t>0,76%</w:t>
            </w:r>
          </w:p>
        </w:tc>
      </w:tr>
      <w:tr w:rsidR="00853505" w:rsidRPr="00853505" w14:paraId="14EE34BB" w14:textId="77777777" w:rsidTr="00853505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06AE88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628733" w14:textId="77777777" w:rsidR="00853505" w:rsidRPr="00853505" w:rsidRDefault="00853505" w:rsidP="008535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sz w:val="16"/>
                <w:szCs w:val="16"/>
                <w:lang w:eastAsia="hr-HR"/>
              </w:rPr>
              <w:t>SUMA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E989AA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sz w:val="16"/>
                <w:szCs w:val="16"/>
                <w:lang w:eastAsia="hr-HR"/>
              </w:rPr>
              <w:t>204.567.310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532C4D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sz w:val="16"/>
                <w:szCs w:val="16"/>
                <w:lang w:eastAsia="hr-HR"/>
              </w:rPr>
              <w:t>-4.820.660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D7753E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sz w:val="16"/>
                <w:szCs w:val="16"/>
                <w:lang w:eastAsia="hr-HR"/>
              </w:rPr>
              <w:t>199.746.650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B99B3F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sz w:val="16"/>
                <w:szCs w:val="16"/>
                <w:lang w:eastAsia="hr-HR"/>
              </w:rPr>
              <w:t>97,64%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F85A3EB" w14:textId="77777777" w:rsidR="00853505" w:rsidRPr="00853505" w:rsidRDefault="00853505" w:rsidP="00853505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853505">
              <w:rPr>
                <w:rFonts w:cs="Calibri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</w:tbl>
    <w:p w14:paraId="13D39EB7" w14:textId="414B61D7" w:rsidR="005563FB" w:rsidRPr="00853505" w:rsidRDefault="005563FB" w:rsidP="005563FB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="Calibri"/>
          <w:b/>
          <w:bCs/>
          <w:sz w:val="16"/>
          <w:szCs w:val="16"/>
        </w:rPr>
      </w:pPr>
    </w:p>
    <w:p w14:paraId="03F55132" w14:textId="7538A7B4" w:rsidR="00853505" w:rsidRPr="00853505" w:rsidRDefault="00853505" w:rsidP="005563FB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="Calibri"/>
          <w:b/>
          <w:bCs/>
          <w:sz w:val="16"/>
          <w:szCs w:val="16"/>
        </w:rPr>
      </w:pPr>
    </w:p>
    <w:p w14:paraId="1E1B7946" w14:textId="2EC2A0C1" w:rsidR="005563FB" w:rsidRPr="005563FB" w:rsidRDefault="005563FB" w:rsidP="005563FB">
      <w:pPr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Prihodi od poreza – skupina 61</w:t>
      </w:r>
    </w:p>
    <w:p w14:paraId="1F0845C1" w14:textId="1A4DDD7E" w:rsidR="005563FB" w:rsidRPr="00A77419" w:rsidRDefault="005563FB" w:rsidP="005563FB">
      <w:pPr>
        <w:jc w:val="both"/>
        <w:rPr>
          <w:rFonts w:asciiTheme="minorHAnsi" w:eastAsia="Calibri" w:hAnsiTheme="minorHAnsi" w:cs="Calibri"/>
          <w:color w:val="FF0000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To su najznačajniji  prihodi Proračuna a plan za </w:t>
      </w:r>
      <w:r w:rsidRPr="00DA5563">
        <w:rPr>
          <w:rFonts w:asciiTheme="minorHAnsi" w:eastAsia="Calibri" w:hAnsiTheme="minorHAnsi" w:cs="Calibri"/>
          <w:sz w:val="24"/>
          <w:szCs w:val="24"/>
        </w:rPr>
        <w:t>202</w:t>
      </w:r>
      <w:r w:rsidR="00DA5563" w:rsidRPr="00DA5563">
        <w:rPr>
          <w:rFonts w:asciiTheme="minorHAnsi" w:eastAsia="Calibri" w:hAnsiTheme="minorHAnsi" w:cs="Calibri"/>
          <w:sz w:val="24"/>
          <w:szCs w:val="24"/>
        </w:rPr>
        <w:t>2</w:t>
      </w:r>
      <w:r w:rsidRPr="00DA5563">
        <w:rPr>
          <w:rFonts w:asciiTheme="minorHAnsi" w:eastAsia="Calibri" w:hAnsiTheme="minorHAnsi" w:cs="Calibri"/>
          <w:sz w:val="24"/>
          <w:szCs w:val="24"/>
        </w:rPr>
        <w:t>.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je da učestvuju u ukupno ostvarenim  prihodima sa  </w:t>
      </w:r>
      <w:r w:rsidR="001C55DD">
        <w:rPr>
          <w:rFonts w:asciiTheme="minorHAnsi" w:eastAsia="Calibri" w:hAnsiTheme="minorHAnsi" w:cs="Calibri"/>
          <w:sz w:val="24"/>
          <w:szCs w:val="24"/>
        </w:rPr>
        <w:t>47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1C55DD">
        <w:rPr>
          <w:rFonts w:asciiTheme="minorHAnsi" w:eastAsia="Calibri" w:hAnsiTheme="minorHAnsi" w:cs="Calibri"/>
          <w:sz w:val="24"/>
          <w:szCs w:val="24"/>
        </w:rPr>
        <w:t>47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% te se planiraju  </w:t>
      </w:r>
      <w:r w:rsidR="00A77419">
        <w:rPr>
          <w:rFonts w:asciiTheme="minorHAnsi" w:eastAsia="Calibri" w:hAnsiTheme="minorHAnsi" w:cs="Calibri"/>
          <w:sz w:val="24"/>
          <w:szCs w:val="24"/>
        </w:rPr>
        <w:t xml:space="preserve">u nešto većem iznosu nego 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202</w:t>
      </w:r>
      <w:r w:rsidR="00A77419">
        <w:rPr>
          <w:rFonts w:asciiTheme="minorHAnsi" w:eastAsia="Calibri" w:hAnsiTheme="minorHAnsi" w:cs="Calibri"/>
          <w:sz w:val="24"/>
          <w:szCs w:val="24"/>
        </w:rPr>
        <w:t>1</w:t>
      </w:r>
      <w:r w:rsidRPr="005563FB">
        <w:rPr>
          <w:rFonts w:asciiTheme="minorHAnsi" w:eastAsia="Calibri" w:hAnsiTheme="minorHAnsi" w:cs="Calibri"/>
          <w:sz w:val="24"/>
          <w:szCs w:val="24"/>
        </w:rPr>
        <w:t>.godine</w:t>
      </w:r>
      <w:r w:rsidR="00A77419">
        <w:rPr>
          <w:rFonts w:asciiTheme="minorHAnsi" w:eastAsia="Calibri" w:hAnsiTheme="minorHAnsi" w:cs="Calibri"/>
          <w:sz w:val="24"/>
          <w:szCs w:val="24"/>
        </w:rPr>
        <w:t xml:space="preserve"> zbog prognoza gospodarskog oporavka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. </w:t>
      </w:r>
    </w:p>
    <w:p w14:paraId="1B68AFFE" w14:textId="56C2CBC3" w:rsidR="005563FB" w:rsidRPr="00E24B16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E24B16">
        <w:rPr>
          <w:rFonts w:asciiTheme="minorHAnsi" w:eastAsia="Calibri" w:hAnsiTheme="minorHAnsi" w:cs="Calibri"/>
          <w:sz w:val="24"/>
          <w:szCs w:val="24"/>
        </w:rPr>
        <w:t xml:space="preserve">Izmjenama Zakona o porezu na dohodak od 2020.godine u porezni sustav se uveo (djelomično) oslobođenje od plaćanja poreza na dohodak za porezne obveznike u dobi do 30 godina te povećava osobni odbitak sa 3.800 na 4.000 kuna a od 2021. izmjenama Zakona o porezu na dohodak stope tog poreza od početka iduće godine </w:t>
      </w:r>
      <w:r w:rsidR="00A77419" w:rsidRPr="00E24B16">
        <w:rPr>
          <w:rFonts w:asciiTheme="minorHAnsi" w:eastAsia="Calibri" w:hAnsiTheme="minorHAnsi" w:cs="Calibri"/>
          <w:sz w:val="24"/>
          <w:szCs w:val="24"/>
        </w:rPr>
        <w:t>su</w:t>
      </w:r>
      <w:r w:rsidRPr="00E24B16">
        <w:rPr>
          <w:rFonts w:asciiTheme="minorHAnsi" w:eastAsia="Calibri" w:hAnsiTheme="minorHAnsi" w:cs="Calibri"/>
          <w:sz w:val="24"/>
          <w:szCs w:val="24"/>
        </w:rPr>
        <w:t xml:space="preserve"> se smanjile i to stopa od 36 posto na 30 posto, a od 24 na 20 posto, dok bi se s 12 na 10 posto smanjila stopa koja se primjenjuje pri oporezivanju godišnjih i konačnih dohodaka te paušalnog oporezivanja djelatnosti (kao što su npr. iznajmljivači stanova ili apartmana). Sve to </w:t>
      </w:r>
      <w:r w:rsidR="00A77419" w:rsidRPr="00E24B16">
        <w:rPr>
          <w:rFonts w:asciiTheme="minorHAnsi" w:eastAsia="Calibri" w:hAnsiTheme="minorHAnsi" w:cs="Calibri"/>
          <w:sz w:val="24"/>
          <w:szCs w:val="24"/>
        </w:rPr>
        <w:t>je</w:t>
      </w:r>
      <w:r w:rsidRPr="00E24B16">
        <w:rPr>
          <w:rFonts w:asciiTheme="minorHAnsi" w:eastAsia="Calibri" w:hAnsiTheme="minorHAnsi" w:cs="Calibri"/>
          <w:sz w:val="24"/>
          <w:szCs w:val="24"/>
        </w:rPr>
        <w:t xml:space="preserve"> negativno utjecalo na prihode gradova, stoga je Ministarstvo financija uvrstilo kompenzacijska sredstva za lokalne jedinice u Državnom proračunu te </w:t>
      </w:r>
      <w:r w:rsidR="00A77419" w:rsidRPr="00E24B16">
        <w:rPr>
          <w:rFonts w:asciiTheme="minorHAnsi" w:eastAsia="Calibri" w:hAnsiTheme="minorHAnsi" w:cs="Calibri"/>
          <w:sz w:val="24"/>
          <w:szCs w:val="24"/>
        </w:rPr>
        <w:t>su se</w:t>
      </w:r>
      <w:r w:rsidRPr="00E24B16">
        <w:rPr>
          <w:rFonts w:asciiTheme="minorHAnsi" w:eastAsia="Calibri" w:hAnsiTheme="minorHAnsi" w:cs="Calibri"/>
          <w:sz w:val="24"/>
          <w:szCs w:val="24"/>
        </w:rPr>
        <w:t xml:space="preserve"> ista doznači</w:t>
      </w:r>
      <w:r w:rsidR="00A77419" w:rsidRPr="00E24B16">
        <w:rPr>
          <w:rFonts w:asciiTheme="minorHAnsi" w:eastAsia="Calibri" w:hAnsiTheme="minorHAnsi" w:cs="Calibri"/>
          <w:sz w:val="24"/>
          <w:szCs w:val="24"/>
        </w:rPr>
        <w:t>vala</w:t>
      </w:r>
      <w:r w:rsidRPr="00E24B16">
        <w:rPr>
          <w:rFonts w:asciiTheme="minorHAnsi" w:eastAsia="Calibri" w:hAnsiTheme="minorHAnsi" w:cs="Calibri"/>
          <w:sz w:val="24"/>
          <w:szCs w:val="24"/>
        </w:rPr>
        <w:t xml:space="preserve"> lokalnim jedinicama u vidu pomoći iz proračuna. Dodatno  se izmjenama Zakona o financiranju JL(R)S udio općine, odnosno grada u raspodjeli prihoda od poreza na dohodak poveća</w:t>
      </w:r>
      <w:r w:rsidR="00E24B16" w:rsidRPr="00E24B16">
        <w:rPr>
          <w:rFonts w:asciiTheme="minorHAnsi" w:eastAsia="Calibri" w:hAnsiTheme="minorHAnsi" w:cs="Calibri"/>
          <w:sz w:val="24"/>
          <w:szCs w:val="24"/>
        </w:rPr>
        <w:t>o</w:t>
      </w:r>
      <w:r w:rsidRPr="00E24B16">
        <w:rPr>
          <w:rFonts w:asciiTheme="minorHAnsi" w:eastAsia="Calibri" w:hAnsiTheme="minorHAnsi" w:cs="Calibri"/>
          <w:sz w:val="24"/>
          <w:szCs w:val="24"/>
        </w:rPr>
        <w:t xml:space="preserve"> sa 60 na 74 posto.</w:t>
      </w:r>
    </w:p>
    <w:p w14:paraId="1A346391" w14:textId="0425A125" w:rsidR="005563FB" w:rsidRPr="005563FB" w:rsidRDefault="005563FB" w:rsidP="005563FB">
      <w:pPr>
        <w:jc w:val="both"/>
        <w:rPr>
          <w:rFonts w:asciiTheme="minorHAnsi" w:eastAsia="Calibri" w:hAnsiTheme="minorHAnsi" w:cs="Calibri"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 xml:space="preserve">Najveći značaj imaju prihodi od poreza na dohodak i prirez porezu na dohodak </w:t>
      </w:r>
      <w:r w:rsidRPr="005563FB">
        <w:rPr>
          <w:rFonts w:asciiTheme="minorHAnsi" w:eastAsia="Calibri" w:hAnsiTheme="minorHAnsi" w:cs="Calibri"/>
          <w:bCs/>
          <w:sz w:val="24"/>
          <w:szCs w:val="24"/>
        </w:rPr>
        <w:t xml:space="preserve">sa ukupnim planom od </w:t>
      </w:r>
      <w:r w:rsidR="00E24B16">
        <w:rPr>
          <w:rFonts w:asciiTheme="minorHAnsi" w:eastAsia="Calibri" w:hAnsiTheme="minorHAnsi" w:cs="Calibri"/>
          <w:bCs/>
          <w:sz w:val="24"/>
          <w:szCs w:val="24"/>
        </w:rPr>
        <w:t>80</w:t>
      </w:r>
      <w:r w:rsidRPr="005563FB">
        <w:rPr>
          <w:rFonts w:asciiTheme="minorHAnsi" w:eastAsia="Calibri" w:hAnsiTheme="minorHAnsi" w:cs="Calibri"/>
          <w:bCs/>
          <w:sz w:val="24"/>
          <w:szCs w:val="24"/>
        </w:rPr>
        <w:t xml:space="preserve"> milijuna kuna za 202</w:t>
      </w:r>
      <w:r w:rsidR="00E24B16">
        <w:rPr>
          <w:rFonts w:asciiTheme="minorHAnsi" w:eastAsia="Calibri" w:hAnsiTheme="minorHAnsi" w:cs="Calibri"/>
          <w:bCs/>
          <w:sz w:val="24"/>
          <w:szCs w:val="24"/>
        </w:rPr>
        <w:t>2</w:t>
      </w:r>
      <w:r w:rsidRPr="005563FB">
        <w:rPr>
          <w:rFonts w:asciiTheme="minorHAnsi" w:eastAsia="Calibri" w:hAnsiTheme="minorHAnsi" w:cs="Calibri"/>
          <w:bCs/>
          <w:sz w:val="24"/>
          <w:szCs w:val="24"/>
        </w:rPr>
        <w:t>.godinu .</w:t>
      </w:r>
    </w:p>
    <w:p w14:paraId="66DC5F4E" w14:textId="05449056" w:rsidR="005563FB" w:rsidRP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Porezi na imovinu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sastoje se od poreza na nekretnine i poreza na kuće za odmor te se ukupno planira </w:t>
      </w:r>
      <w:r w:rsidR="00E24B16">
        <w:rPr>
          <w:rFonts w:asciiTheme="minorHAnsi" w:eastAsia="Calibri" w:hAnsiTheme="minorHAnsi" w:cs="Calibri"/>
          <w:sz w:val="24"/>
          <w:szCs w:val="24"/>
        </w:rPr>
        <w:t>13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E24B16">
        <w:rPr>
          <w:rFonts w:asciiTheme="minorHAnsi" w:eastAsia="Calibri" w:hAnsiTheme="minorHAnsi" w:cs="Calibri"/>
          <w:sz w:val="24"/>
          <w:szCs w:val="24"/>
        </w:rPr>
        <w:t>5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milijuna kuna ovih prihoda.</w:t>
      </w:r>
    </w:p>
    <w:p w14:paraId="2F4124EE" w14:textId="6EB7EB37" w:rsidR="005563FB" w:rsidRP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 xml:space="preserve">Porezi  na robu i usluge </w:t>
      </w:r>
      <w:r w:rsidRPr="005563FB">
        <w:rPr>
          <w:rFonts w:asciiTheme="minorHAnsi" w:eastAsia="Calibri" w:hAnsiTheme="minorHAnsi" w:cs="Calibri"/>
          <w:sz w:val="24"/>
          <w:szCs w:val="24"/>
        </w:rPr>
        <w:t>- najveća stavka je porez na potrošnju  alkoholnih i bezalkoholnih pića u iznosu od 1,</w:t>
      </w:r>
      <w:r w:rsidR="00E24B16">
        <w:rPr>
          <w:rFonts w:asciiTheme="minorHAnsi" w:eastAsia="Calibri" w:hAnsiTheme="minorHAnsi" w:cs="Calibri"/>
          <w:sz w:val="24"/>
          <w:szCs w:val="24"/>
        </w:rPr>
        <w:t>3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mil.kuna. Pošto je porez na tvrtku ukinut, na toj stavci očekujemo samo prihode po nezavršenim predmetima iz prijašnjih godina.</w:t>
      </w:r>
    </w:p>
    <w:p w14:paraId="71328005" w14:textId="77777777" w:rsidR="005563FB" w:rsidRPr="005563FB" w:rsidRDefault="005563FB" w:rsidP="005563FB">
      <w:pPr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Pomoći  - skupina 63</w:t>
      </w:r>
    </w:p>
    <w:p w14:paraId="39663D8C" w14:textId="6E3E24BC" w:rsidR="005563FB" w:rsidRPr="000B41E1" w:rsidRDefault="005563FB" w:rsidP="005563FB">
      <w:pPr>
        <w:jc w:val="both"/>
        <w:rPr>
          <w:rFonts w:asciiTheme="minorHAnsi" w:eastAsia="Calibri" w:hAnsiTheme="minorHAnsi" w:cs="Calibri"/>
          <w:color w:val="000000" w:themeColor="text1"/>
          <w:sz w:val="18"/>
          <w:szCs w:val="18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Planiraju se u iznosu od cca </w:t>
      </w:r>
      <w:r w:rsidR="00E24B16">
        <w:rPr>
          <w:rFonts w:asciiTheme="minorHAnsi" w:eastAsia="Calibri" w:hAnsiTheme="minorHAnsi" w:cs="Calibri"/>
          <w:sz w:val="24"/>
          <w:szCs w:val="24"/>
        </w:rPr>
        <w:t>37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E24B16">
        <w:rPr>
          <w:rFonts w:asciiTheme="minorHAnsi" w:eastAsia="Calibri" w:hAnsiTheme="minorHAnsi" w:cs="Calibri"/>
          <w:sz w:val="24"/>
          <w:szCs w:val="24"/>
        </w:rPr>
        <w:t>381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 kuna,  planirani su djelomično temeljem sklopljenih ali i </w:t>
      </w:r>
      <w:r w:rsidRPr="005563FB">
        <w:rPr>
          <w:rFonts w:asciiTheme="minorHAnsi" w:eastAsia="Calibri" w:hAnsiTheme="minorHAnsi" w:cs="Calibri"/>
          <w:color w:val="000000" w:themeColor="text1"/>
          <w:sz w:val="24"/>
          <w:szCs w:val="24"/>
        </w:rPr>
        <w:t xml:space="preserve">očekivanih ugovora o sufinanciranju izvođenja kapitalnih projekata. U nastavku je popis projekata </w:t>
      </w:r>
      <w:r w:rsidRPr="000B41E1">
        <w:rPr>
          <w:rFonts w:asciiTheme="minorHAnsi" w:eastAsia="Calibri" w:hAnsiTheme="minorHAnsi" w:cs="Calibri"/>
          <w:color w:val="000000" w:themeColor="text1"/>
          <w:sz w:val="18"/>
          <w:szCs w:val="18"/>
        </w:rPr>
        <w:t>koji se planiraju financirati iz tih potpora: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04"/>
        <w:gridCol w:w="3827"/>
        <w:gridCol w:w="3969"/>
        <w:gridCol w:w="1134"/>
      </w:tblGrid>
      <w:tr w:rsidR="000B41E1" w:rsidRPr="000B41E1" w14:paraId="0E66F1DA" w14:textId="77777777" w:rsidTr="000B41E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B0A02B" w14:textId="77777777" w:rsidR="000B41E1" w:rsidRPr="000B41E1" w:rsidRDefault="000B41E1" w:rsidP="000B41E1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b/>
                <w:bCs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FD7AAD" w14:textId="77777777" w:rsidR="000B41E1" w:rsidRPr="000B41E1" w:rsidRDefault="000B41E1" w:rsidP="000B41E1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b/>
                <w:bCs/>
                <w:sz w:val="18"/>
                <w:szCs w:val="18"/>
                <w:lang w:eastAsia="hr-HR"/>
              </w:rPr>
              <w:t>Naziv izvora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57E570" w14:textId="77777777" w:rsidR="000B41E1" w:rsidRPr="000B41E1" w:rsidRDefault="000B41E1" w:rsidP="000B41E1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b/>
                <w:bCs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09C212" w14:textId="77777777" w:rsidR="000B41E1" w:rsidRPr="000B41E1" w:rsidRDefault="000B41E1" w:rsidP="000B41E1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2021.</w:t>
            </w:r>
          </w:p>
        </w:tc>
      </w:tr>
      <w:tr w:rsidR="000B41E1" w:rsidRPr="000B41E1" w14:paraId="54E67C71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EC59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D5FE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4BEF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DJEČJI VRTIĆ "KAŠTELA"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07C9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192.800</w:t>
            </w:r>
          </w:p>
        </w:tc>
      </w:tr>
      <w:tr w:rsidR="000B41E1" w:rsidRPr="000B41E1" w14:paraId="3B95B7F1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CD66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8D6F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AAD3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2FC7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36.500</w:t>
            </w:r>
          </w:p>
        </w:tc>
      </w:tr>
      <w:tr w:rsidR="000B41E1" w:rsidRPr="000B41E1" w14:paraId="5264325A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596F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0311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73DF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Gradska knjižnica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23E7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255.000</w:t>
            </w:r>
          </w:p>
        </w:tc>
      </w:tr>
      <w:tr w:rsidR="000B41E1" w:rsidRPr="000B41E1" w14:paraId="537A4230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93F0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57F2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BF1E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Razvojni projekti za EU i dr. izvore financiranja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EACB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150.000</w:t>
            </w:r>
          </w:p>
        </w:tc>
      </w:tr>
      <w:tr w:rsidR="000B41E1" w:rsidRPr="000B41E1" w14:paraId="5353919B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207A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B784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županijskog proračuna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42EF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Gradska knjižnica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8797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</w:tr>
      <w:tr w:rsidR="000B41E1" w:rsidRPr="000B41E1" w14:paraId="605D00EB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DAC6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B440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županijskog proračuna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B851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 obiteljima i kućanstvima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D6B1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220.000</w:t>
            </w:r>
          </w:p>
        </w:tc>
      </w:tr>
      <w:tr w:rsidR="000B41E1" w:rsidRPr="000B41E1" w14:paraId="38AAA8A8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0F2F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79C7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županijskog proračuna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C34C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2C20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</w:tr>
      <w:tr w:rsidR="000B41E1" w:rsidRPr="000B41E1" w14:paraId="3E21EB31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177E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3CF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županijskog proračuna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6E64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Održavanje javnih  površina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C547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</w:tr>
      <w:tr w:rsidR="000B41E1" w:rsidRPr="000B41E1" w14:paraId="34CCDA3C" w14:textId="77777777" w:rsidTr="000B41E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8BB2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FDCA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županijskog proračuna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E4DB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Održavanje šumskih i poljskih puteva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816C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</w:tr>
      <w:tr w:rsidR="000B41E1" w:rsidRPr="000B41E1" w14:paraId="3CCF9D74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0D02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DE12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državnog proračuna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11EE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DCE9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B41E1" w:rsidRPr="000B41E1" w14:paraId="4A0F0591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3792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9A02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državnog proračuna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FA85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Razvojni projekti za EU i dr. izvore financiranja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9835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</w:tr>
      <w:tr w:rsidR="000B41E1" w:rsidRPr="000B41E1" w14:paraId="7B061222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5D20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591D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državnog proračuna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61C3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Projekt Skriveni habitati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4078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155.000</w:t>
            </w:r>
          </w:p>
        </w:tc>
      </w:tr>
      <w:tr w:rsidR="000B41E1" w:rsidRPr="000B41E1" w14:paraId="0F32714B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9AB0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20FD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državnog proračuna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5596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Projekt Zaželi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46DE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79.500</w:t>
            </w:r>
          </w:p>
        </w:tc>
      </w:tr>
      <w:tr w:rsidR="000B41E1" w:rsidRPr="000B41E1" w14:paraId="1F4BD190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F808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FDB4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državnog proračuna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E871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Projekt City Bike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E8E0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1.800.000</w:t>
            </w:r>
          </w:p>
        </w:tc>
      </w:tr>
      <w:tr w:rsidR="000B41E1" w:rsidRPr="000B41E1" w14:paraId="3E371C08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4247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63C8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državnog proračuna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95CC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Projekt izvaninstitucionalne skrbi -ITU mehanizami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780B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1.105.000</w:t>
            </w:r>
          </w:p>
        </w:tc>
      </w:tr>
      <w:tr w:rsidR="000B41E1" w:rsidRPr="000B41E1" w14:paraId="4BB0D0F5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372C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6BC6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državnog proračuna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6E22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Projekt Brownfield Vila 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FB12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45.000</w:t>
            </w:r>
          </w:p>
        </w:tc>
      </w:tr>
      <w:tr w:rsidR="000B41E1" w:rsidRPr="000B41E1" w14:paraId="3031A61A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24BD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4969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državnog proračuna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50C9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EA70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768.000</w:t>
            </w:r>
          </w:p>
        </w:tc>
      </w:tr>
      <w:tr w:rsidR="000B41E1" w:rsidRPr="000B41E1" w14:paraId="57D6BACD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FDFF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1593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iz državnog proračuna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7EA5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Izgradnja gradskih objekata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5C66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2.800.000</w:t>
            </w:r>
          </w:p>
        </w:tc>
      </w:tr>
      <w:tr w:rsidR="000B41E1" w:rsidRPr="000B41E1" w14:paraId="454A698D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2D27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137A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EEC9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6917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2.000.000</w:t>
            </w:r>
          </w:p>
        </w:tc>
      </w:tr>
      <w:tr w:rsidR="000B41E1" w:rsidRPr="000B41E1" w14:paraId="77A4CFD5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2A07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2649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8CE5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06E1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2.000.000</w:t>
            </w:r>
          </w:p>
        </w:tc>
      </w:tr>
      <w:tr w:rsidR="000B41E1" w:rsidRPr="000B41E1" w14:paraId="4A2507EC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2661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FE6D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755E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3B7D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180.000</w:t>
            </w:r>
          </w:p>
        </w:tc>
      </w:tr>
      <w:tr w:rsidR="000B41E1" w:rsidRPr="000B41E1" w14:paraId="2FD2B2AC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B697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67C4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AAC9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C006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520.000</w:t>
            </w:r>
          </w:p>
        </w:tc>
      </w:tr>
      <w:tr w:rsidR="000B41E1" w:rsidRPr="000B41E1" w14:paraId="364FA9C2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3A24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3FC3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D6A9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Redovna djelatnost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DB6C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750.000</w:t>
            </w:r>
          </w:p>
        </w:tc>
      </w:tr>
      <w:tr w:rsidR="000B41E1" w:rsidRPr="000B41E1" w14:paraId="06E96085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440E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98FD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FBD3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Održavanje javnih  površina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A64A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</w:tr>
      <w:tr w:rsidR="000B41E1" w:rsidRPr="000B41E1" w14:paraId="41826FD1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76B4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AD8F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1C71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Opskrba pitkom vodom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FE8E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</w:tr>
      <w:tr w:rsidR="000B41E1" w:rsidRPr="000B41E1" w14:paraId="6CDD066F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83C9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8E37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međun. organizacija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7F70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D303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2.000.000</w:t>
            </w:r>
          </w:p>
        </w:tc>
      </w:tr>
      <w:tr w:rsidR="000B41E1" w:rsidRPr="000B41E1" w14:paraId="6F10B845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C330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F3CE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međun. organizacija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3146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4BFA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2.000.000</w:t>
            </w:r>
          </w:p>
        </w:tc>
      </w:tr>
      <w:tr w:rsidR="000B41E1" w:rsidRPr="000B41E1" w14:paraId="27C44937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120B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2E40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međun. organizacija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29A3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2AA2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180.000</w:t>
            </w:r>
          </w:p>
        </w:tc>
      </w:tr>
      <w:tr w:rsidR="000B41E1" w:rsidRPr="000B41E1" w14:paraId="442272AE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9DF2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1406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međun. organizacija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EC1E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0EBF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520.000</w:t>
            </w:r>
          </w:p>
        </w:tc>
      </w:tr>
      <w:tr w:rsidR="000B41E1" w:rsidRPr="000B41E1" w14:paraId="25C39259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4703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3B12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međun. organizacija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FA7C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Redovna djelatnost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0B76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750.000</w:t>
            </w:r>
          </w:p>
        </w:tc>
      </w:tr>
      <w:tr w:rsidR="000B41E1" w:rsidRPr="000B41E1" w14:paraId="45C8A05C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2A0F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7776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međun. organizacija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C6ED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Održavanje javnih  površina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62DE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</w:tr>
      <w:tr w:rsidR="000B41E1" w:rsidRPr="000B41E1" w14:paraId="710064DA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CEBA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7F3A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Pomoći od međun. organizacija temeljem prijenosa EU sredstava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9CC0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Opskrba pitkom vodom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52EF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</w:tr>
      <w:tr w:rsidR="000B41E1" w:rsidRPr="000B41E1" w14:paraId="1D03F955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EAB8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617E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1802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DA85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color w:val="000000"/>
                <w:sz w:val="18"/>
                <w:szCs w:val="18"/>
                <w:lang w:eastAsia="hr-HR"/>
              </w:rPr>
              <w:t>16.525.000</w:t>
            </w:r>
          </w:p>
        </w:tc>
      </w:tr>
      <w:tr w:rsidR="000B41E1" w:rsidRPr="000B41E1" w14:paraId="388B0C11" w14:textId="77777777" w:rsidTr="000B41E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8103A0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74F17C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60EC26" w14:textId="77777777" w:rsidR="000B41E1" w:rsidRPr="000B41E1" w:rsidRDefault="000B41E1" w:rsidP="000B41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50604C" w14:textId="77777777" w:rsidR="000B41E1" w:rsidRPr="000B41E1" w:rsidRDefault="000B41E1" w:rsidP="000B41E1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0B41E1">
              <w:rPr>
                <w:rFonts w:cs="Calibri"/>
                <w:b/>
                <w:bCs/>
                <w:sz w:val="18"/>
                <w:szCs w:val="18"/>
                <w:lang w:eastAsia="hr-HR"/>
              </w:rPr>
              <w:t>37.381.800</w:t>
            </w:r>
          </w:p>
        </w:tc>
      </w:tr>
    </w:tbl>
    <w:p w14:paraId="61143B67" w14:textId="6037C90A" w:rsidR="000B41E1" w:rsidRPr="000B41E1" w:rsidRDefault="000B41E1" w:rsidP="005563FB">
      <w:pPr>
        <w:jc w:val="both"/>
        <w:rPr>
          <w:rFonts w:asciiTheme="minorHAnsi" w:eastAsia="Calibri" w:hAnsiTheme="minorHAnsi" w:cs="Calibri"/>
          <w:color w:val="000000" w:themeColor="text1"/>
          <w:sz w:val="18"/>
          <w:szCs w:val="18"/>
        </w:rPr>
      </w:pPr>
    </w:p>
    <w:p w14:paraId="65F338C7" w14:textId="77777777" w:rsidR="005563FB" w:rsidRPr="005563FB" w:rsidRDefault="005563FB" w:rsidP="005563FB">
      <w:pPr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Prihodi od  imovine skupina – skupina 64</w:t>
      </w:r>
    </w:p>
    <w:p w14:paraId="3ED6093A" w14:textId="59AA86C0" w:rsidR="005563FB" w:rsidRPr="005563FB" w:rsidRDefault="005563FB" w:rsidP="005563FB">
      <w:pPr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Planirani su u iznosu od 6,</w:t>
      </w:r>
      <w:r w:rsidR="00E42F57">
        <w:rPr>
          <w:rFonts w:asciiTheme="minorHAnsi" w:eastAsia="Calibri" w:hAnsiTheme="minorHAnsi" w:cs="Calibri"/>
          <w:sz w:val="24"/>
          <w:szCs w:val="24"/>
        </w:rPr>
        <w:t>91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 kuna što je za </w:t>
      </w:r>
      <w:r w:rsidR="00E075B1">
        <w:rPr>
          <w:rFonts w:asciiTheme="minorHAnsi" w:eastAsia="Calibri" w:hAnsiTheme="minorHAnsi" w:cs="Calibri"/>
          <w:sz w:val="24"/>
          <w:szCs w:val="24"/>
        </w:rPr>
        <w:t>7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E075B1">
        <w:rPr>
          <w:rFonts w:asciiTheme="minorHAnsi" w:eastAsia="Calibri" w:hAnsiTheme="minorHAnsi" w:cs="Calibri"/>
          <w:sz w:val="24"/>
          <w:szCs w:val="24"/>
        </w:rPr>
        <w:t>96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% više od plana za 202</w:t>
      </w:r>
      <w:r w:rsidR="00E075B1">
        <w:rPr>
          <w:rFonts w:asciiTheme="minorHAnsi" w:eastAsia="Calibri" w:hAnsiTheme="minorHAnsi" w:cs="Calibri"/>
          <w:sz w:val="24"/>
          <w:szCs w:val="24"/>
        </w:rPr>
        <w:t>1</w:t>
      </w:r>
      <w:r w:rsidRPr="005563FB">
        <w:rPr>
          <w:rFonts w:asciiTheme="minorHAnsi" w:eastAsia="Calibri" w:hAnsiTheme="minorHAnsi" w:cs="Calibri"/>
          <w:sz w:val="24"/>
          <w:szCs w:val="24"/>
        </w:rPr>
        <w:t>., a sastoje se od sljedećih prihoda :</w:t>
      </w:r>
    </w:p>
    <w:p w14:paraId="342CD53B" w14:textId="24F02A19" w:rsidR="005563FB" w:rsidRP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sz w:val="24"/>
          <w:szCs w:val="24"/>
        </w:rPr>
        <w:t xml:space="preserve">- Prihodi od financijske imovine 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-641 , planirani su u iznosu od </w:t>
      </w:r>
      <w:r w:rsidR="00E075B1">
        <w:rPr>
          <w:rFonts w:asciiTheme="minorHAnsi" w:eastAsia="Calibri" w:hAnsiTheme="minorHAnsi" w:cs="Calibri"/>
          <w:sz w:val="24"/>
          <w:szCs w:val="24"/>
        </w:rPr>
        <w:t>211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  <w:r w:rsidR="00E075B1">
        <w:rPr>
          <w:rFonts w:asciiTheme="minorHAnsi" w:eastAsia="Calibri" w:hAnsiTheme="minorHAnsi" w:cs="Calibri"/>
          <w:sz w:val="24"/>
          <w:szCs w:val="24"/>
        </w:rPr>
        <w:t>1</w:t>
      </w:r>
      <w:r w:rsidRPr="005563FB">
        <w:rPr>
          <w:rFonts w:asciiTheme="minorHAnsi" w:eastAsia="Calibri" w:hAnsiTheme="minorHAnsi" w:cs="Calibri"/>
          <w:sz w:val="24"/>
          <w:szCs w:val="24"/>
        </w:rPr>
        <w:t>00 kn.</w:t>
      </w:r>
    </w:p>
    <w:p w14:paraId="36FD0623" w14:textId="1E6D825A" w:rsidR="005563FB" w:rsidRPr="005563FB" w:rsidRDefault="005563FB" w:rsidP="005563FB">
      <w:pPr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sz w:val="24"/>
          <w:szCs w:val="24"/>
        </w:rPr>
        <w:t>- Prihodi od nefinancijske imovine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– 642, planirani u iznosu od 6,</w:t>
      </w:r>
      <w:r w:rsidR="00E075B1">
        <w:rPr>
          <w:rFonts w:asciiTheme="minorHAnsi" w:eastAsia="Calibri" w:hAnsiTheme="minorHAnsi" w:cs="Calibri"/>
          <w:sz w:val="24"/>
          <w:szCs w:val="24"/>
        </w:rPr>
        <w:t>7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milijun kuna a najznačajnije su:</w:t>
      </w:r>
    </w:p>
    <w:p w14:paraId="23E12E0E" w14:textId="77777777" w:rsidR="005563FB" w:rsidRPr="005563FB" w:rsidRDefault="005563FB" w:rsidP="005563FB">
      <w:pPr>
        <w:spacing w:line="240" w:lineRule="auto"/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 xml:space="preserve">- Naknada za koncesije </w:t>
      </w:r>
      <w:r w:rsidRPr="005563FB">
        <w:rPr>
          <w:rFonts w:asciiTheme="minorHAnsi" w:eastAsia="Calibri" w:hAnsiTheme="minorHAnsi" w:cs="Calibri"/>
          <w:bCs/>
          <w:sz w:val="24"/>
          <w:szCs w:val="24"/>
        </w:rPr>
        <w:t>(1.500.000,00 kn):</w:t>
      </w:r>
    </w:p>
    <w:p w14:paraId="10B0918D" w14:textId="77777777" w:rsidR="005563FB" w:rsidRPr="005563FB" w:rsidRDefault="005563FB" w:rsidP="005563FB">
      <w:pPr>
        <w:spacing w:after="0" w:line="240" w:lineRule="auto"/>
        <w:ind w:left="708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-naknade za koncesije i uporabu pomorskog dobra,</w:t>
      </w:r>
    </w:p>
    <w:p w14:paraId="60CC861E" w14:textId="77777777" w:rsidR="005563FB" w:rsidRPr="005563FB" w:rsidRDefault="005563FB" w:rsidP="005563FB">
      <w:pPr>
        <w:spacing w:after="0" w:line="240" w:lineRule="auto"/>
        <w:ind w:left="708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-naknada za koncesije na javnim cestama</w:t>
      </w:r>
    </w:p>
    <w:p w14:paraId="21421A12" w14:textId="77777777" w:rsidR="005563FB" w:rsidRPr="005563FB" w:rsidRDefault="005563FB" w:rsidP="005563FB">
      <w:pPr>
        <w:spacing w:after="0" w:line="240" w:lineRule="auto"/>
        <w:ind w:left="708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- ostale koncesije</w:t>
      </w:r>
    </w:p>
    <w:p w14:paraId="7FEEF0F6" w14:textId="77777777" w:rsidR="005563FB" w:rsidRPr="005563FB" w:rsidRDefault="005563FB" w:rsidP="005563FB">
      <w:pPr>
        <w:spacing w:after="0"/>
        <w:rPr>
          <w:rFonts w:asciiTheme="minorHAnsi" w:eastAsia="Calibri" w:hAnsiTheme="minorHAnsi" w:cs="Calibri"/>
          <w:sz w:val="24"/>
          <w:szCs w:val="24"/>
        </w:rPr>
      </w:pPr>
    </w:p>
    <w:p w14:paraId="0C9F1810" w14:textId="793AD1D3" w:rsidR="005563FB" w:rsidRPr="005563FB" w:rsidRDefault="005563FB" w:rsidP="005563FB">
      <w:pPr>
        <w:spacing w:line="240" w:lineRule="auto"/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 xml:space="preserve">- Prihodi od zakupa i iznajmljivanja imovine </w:t>
      </w:r>
      <w:r w:rsidRPr="005563FB">
        <w:rPr>
          <w:rFonts w:asciiTheme="minorHAnsi" w:eastAsia="Calibri" w:hAnsiTheme="minorHAnsi" w:cs="Calibri"/>
          <w:bCs/>
          <w:sz w:val="24"/>
          <w:szCs w:val="24"/>
        </w:rPr>
        <w:t>(</w:t>
      </w:r>
      <w:r w:rsidR="00C05B75">
        <w:rPr>
          <w:rFonts w:asciiTheme="minorHAnsi" w:eastAsia="Calibri" w:hAnsiTheme="minorHAnsi" w:cs="Calibri"/>
          <w:bCs/>
          <w:sz w:val="24"/>
          <w:szCs w:val="24"/>
        </w:rPr>
        <w:t>4</w:t>
      </w:r>
      <w:r w:rsidRPr="005563FB">
        <w:rPr>
          <w:rFonts w:asciiTheme="minorHAnsi" w:eastAsia="Calibri" w:hAnsiTheme="minorHAnsi" w:cs="Calibri"/>
          <w:bCs/>
          <w:sz w:val="24"/>
          <w:szCs w:val="24"/>
        </w:rPr>
        <w:t>.</w:t>
      </w:r>
      <w:r w:rsidR="00C05B75">
        <w:rPr>
          <w:rFonts w:asciiTheme="minorHAnsi" w:eastAsia="Calibri" w:hAnsiTheme="minorHAnsi" w:cs="Calibri"/>
          <w:bCs/>
          <w:sz w:val="24"/>
          <w:szCs w:val="24"/>
        </w:rPr>
        <w:t>40</w:t>
      </w:r>
      <w:r w:rsidRPr="005563FB">
        <w:rPr>
          <w:rFonts w:asciiTheme="minorHAnsi" w:eastAsia="Calibri" w:hAnsiTheme="minorHAnsi" w:cs="Calibri"/>
          <w:bCs/>
          <w:sz w:val="24"/>
          <w:szCs w:val="24"/>
        </w:rPr>
        <w:t>0.000,00 kn):</w:t>
      </w:r>
    </w:p>
    <w:p w14:paraId="4E6AD9AE" w14:textId="77777777" w:rsidR="005563FB" w:rsidRPr="005563FB" w:rsidRDefault="005563FB" w:rsidP="005563FB">
      <w:pPr>
        <w:spacing w:after="0" w:line="240" w:lineRule="auto"/>
        <w:ind w:left="708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-prihodi od zakupa poslovnih prostora,</w:t>
      </w:r>
    </w:p>
    <w:p w14:paraId="742DC711" w14:textId="77777777" w:rsidR="005563FB" w:rsidRPr="005563FB" w:rsidRDefault="005563FB" w:rsidP="005563FB">
      <w:pPr>
        <w:spacing w:after="0" w:line="240" w:lineRule="auto"/>
        <w:ind w:left="708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-</w:t>
      </w:r>
      <w:r w:rsidRPr="005563FB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563FB">
        <w:rPr>
          <w:rFonts w:asciiTheme="minorHAnsi" w:eastAsia="Calibri" w:hAnsiTheme="minorHAnsi" w:cs="Calibri"/>
          <w:sz w:val="24"/>
          <w:szCs w:val="24"/>
        </w:rPr>
        <w:t>prihodi od zakupa poljoprivrednog zemljišta,</w:t>
      </w:r>
    </w:p>
    <w:p w14:paraId="1B3AD5BB" w14:textId="77777777" w:rsidR="005563FB" w:rsidRPr="005563FB" w:rsidRDefault="005563FB" w:rsidP="005563FB">
      <w:pPr>
        <w:spacing w:after="0" w:line="240" w:lineRule="auto"/>
        <w:ind w:left="708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-prihodi od iznajmljivanja stambenih objekata,</w:t>
      </w:r>
    </w:p>
    <w:p w14:paraId="3B2638D5" w14:textId="77777777" w:rsidR="005563FB" w:rsidRPr="005563FB" w:rsidRDefault="005563FB" w:rsidP="005563FB">
      <w:pPr>
        <w:spacing w:after="0" w:line="240" w:lineRule="auto"/>
        <w:ind w:left="708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-ostali prihodi od iznajmljivanja i zakupa imovine.</w:t>
      </w:r>
    </w:p>
    <w:p w14:paraId="445F0B4F" w14:textId="77777777" w:rsidR="005563FB" w:rsidRPr="005563FB" w:rsidRDefault="005563FB" w:rsidP="005563FB">
      <w:pPr>
        <w:spacing w:after="0"/>
        <w:ind w:left="708"/>
        <w:rPr>
          <w:rFonts w:asciiTheme="minorHAnsi" w:eastAsia="Calibri" w:hAnsiTheme="minorHAnsi" w:cs="Calibri"/>
          <w:sz w:val="24"/>
          <w:szCs w:val="24"/>
        </w:rPr>
      </w:pPr>
    </w:p>
    <w:p w14:paraId="0D41BDEE" w14:textId="4FF94A2A" w:rsidR="005563FB" w:rsidRPr="005563FB" w:rsidRDefault="005563FB" w:rsidP="005563FB">
      <w:pPr>
        <w:spacing w:line="240" w:lineRule="auto"/>
        <w:ind w:left="708"/>
        <w:rPr>
          <w:rFonts w:asciiTheme="minorHAnsi" w:eastAsia="Calibri" w:hAnsiTheme="minorHAnsi" w:cs="Calibri"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 xml:space="preserve">- Naknada za korištenje nefinancijske imovine </w:t>
      </w:r>
      <w:r w:rsidRPr="005563FB">
        <w:rPr>
          <w:rFonts w:asciiTheme="minorHAnsi" w:eastAsia="Calibri" w:hAnsiTheme="minorHAnsi" w:cs="Calibri"/>
          <w:bCs/>
          <w:sz w:val="24"/>
          <w:szCs w:val="24"/>
        </w:rPr>
        <w:t>(</w:t>
      </w:r>
      <w:r w:rsidR="00C05B75">
        <w:rPr>
          <w:rFonts w:asciiTheme="minorHAnsi" w:eastAsia="Calibri" w:hAnsiTheme="minorHAnsi" w:cs="Calibri"/>
          <w:bCs/>
          <w:sz w:val="24"/>
          <w:szCs w:val="24"/>
        </w:rPr>
        <w:t>400</w:t>
      </w:r>
      <w:r w:rsidRPr="005563FB">
        <w:rPr>
          <w:rFonts w:asciiTheme="minorHAnsi" w:eastAsia="Calibri" w:hAnsiTheme="minorHAnsi" w:cs="Calibri"/>
          <w:bCs/>
          <w:sz w:val="24"/>
          <w:szCs w:val="24"/>
        </w:rPr>
        <w:t>.</w:t>
      </w:r>
      <w:r w:rsidR="00C05B75">
        <w:rPr>
          <w:rFonts w:asciiTheme="minorHAnsi" w:eastAsia="Calibri" w:hAnsiTheme="minorHAnsi" w:cs="Calibri"/>
          <w:bCs/>
          <w:sz w:val="24"/>
          <w:szCs w:val="24"/>
        </w:rPr>
        <w:t>0</w:t>
      </w:r>
      <w:r w:rsidRPr="005563FB">
        <w:rPr>
          <w:rFonts w:asciiTheme="minorHAnsi" w:eastAsia="Calibri" w:hAnsiTheme="minorHAnsi" w:cs="Calibri"/>
          <w:bCs/>
          <w:sz w:val="24"/>
          <w:szCs w:val="24"/>
        </w:rPr>
        <w:t>00,00 kn):</w:t>
      </w:r>
    </w:p>
    <w:p w14:paraId="2E1FF9FA" w14:textId="77777777" w:rsidR="005563FB" w:rsidRPr="005563FB" w:rsidRDefault="005563FB" w:rsidP="005563FB">
      <w:pPr>
        <w:spacing w:after="0" w:line="240" w:lineRule="auto"/>
        <w:ind w:left="708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-prihodi od spomeničke rente</w:t>
      </w:r>
    </w:p>
    <w:p w14:paraId="1BC5AD3C" w14:textId="77777777" w:rsidR="005563FB" w:rsidRPr="005563FB" w:rsidRDefault="005563FB" w:rsidP="005563FB">
      <w:pPr>
        <w:spacing w:after="0" w:line="240" w:lineRule="auto"/>
        <w:ind w:left="708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-naknada za eksploataciju i iskop mineralnih sirovina</w:t>
      </w:r>
    </w:p>
    <w:p w14:paraId="0993A03B" w14:textId="77777777" w:rsidR="005563FB" w:rsidRPr="005563FB" w:rsidRDefault="005563FB" w:rsidP="005563FB">
      <w:pPr>
        <w:spacing w:after="0" w:line="240" w:lineRule="auto"/>
        <w:ind w:left="708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-ostali prihodi od nefinancijske imovine </w:t>
      </w:r>
    </w:p>
    <w:p w14:paraId="7F76AB35" w14:textId="77777777" w:rsidR="005563FB" w:rsidRPr="005563FB" w:rsidRDefault="005563FB" w:rsidP="005563FB">
      <w:pPr>
        <w:spacing w:after="0"/>
        <w:rPr>
          <w:rFonts w:asciiTheme="minorHAnsi" w:eastAsia="Calibri" w:hAnsiTheme="minorHAnsi" w:cs="Calibri"/>
          <w:sz w:val="24"/>
          <w:szCs w:val="24"/>
        </w:rPr>
      </w:pPr>
    </w:p>
    <w:p w14:paraId="0692FDCE" w14:textId="524FA62A" w:rsidR="005563FB" w:rsidRPr="005563FB" w:rsidRDefault="005563FB" w:rsidP="005563FB">
      <w:pPr>
        <w:ind w:firstLine="708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- Prihodi od naknade za legalizaciju nezakonito podignutih objekata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su planirani u iznosu od </w:t>
      </w:r>
      <w:r w:rsidR="00C05B75">
        <w:rPr>
          <w:rFonts w:asciiTheme="minorHAnsi" w:eastAsia="Calibri" w:hAnsiTheme="minorHAnsi" w:cs="Calibri"/>
          <w:sz w:val="24"/>
          <w:szCs w:val="24"/>
        </w:rPr>
        <w:t xml:space="preserve">400.000 </w:t>
      </w:r>
      <w:r w:rsidRPr="005563FB">
        <w:rPr>
          <w:rFonts w:asciiTheme="minorHAnsi" w:eastAsia="Calibri" w:hAnsiTheme="minorHAnsi" w:cs="Calibri"/>
          <w:sz w:val="24"/>
          <w:szCs w:val="24"/>
        </w:rPr>
        <w:t>kuna.</w:t>
      </w:r>
    </w:p>
    <w:p w14:paraId="501F6A87" w14:textId="77777777" w:rsidR="005563FB" w:rsidRPr="005563FB" w:rsidRDefault="005563FB" w:rsidP="005563FB">
      <w:pPr>
        <w:ind w:firstLine="708"/>
        <w:rPr>
          <w:rFonts w:asciiTheme="minorHAnsi" w:eastAsia="Calibri" w:hAnsiTheme="minorHAnsi" w:cs="Calibri"/>
          <w:sz w:val="24"/>
          <w:szCs w:val="24"/>
        </w:rPr>
      </w:pPr>
    </w:p>
    <w:p w14:paraId="60469AB4" w14:textId="77777777" w:rsidR="005563FB" w:rsidRPr="005563FB" w:rsidRDefault="005563FB" w:rsidP="005563FB">
      <w:pPr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Prihodi od administrativnih pristojbi i po posebnim propisima - skupina 65</w:t>
      </w:r>
    </w:p>
    <w:p w14:paraId="7F4AF6BD" w14:textId="747820DC" w:rsidR="005563FB" w:rsidRP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Planirani su u iznosu od 5</w:t>
      </w:r>
      <w:r w:rsidR="008F1C32">
        <w:rPr>
          <w:rFonts w:asciiTheme="minorHAnsi" w:eastAsia="Calibri" w:hAnsiTheme="minorHAnsi" w:cs="Calibri"/>
          <w:sz w:val="24"/>
          <w:szCs w:val="24"/>
        </w:rPr>
        <w:t>5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8F1C32">
        <w:rPr>
          <w:rFonts w:asciiTheme="minorHAnsi" w:eastAsia="Calibri" w:hAnsiTheme="minorHAnsi" w:cs="Calibri"/>
          <w:sz w:val="24"/>
          <w:szCs w:val="24"/>
        </w:rPr>
        <w:t>64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 kuna.  Sastoje se od administrativnih pristojbi , prihoda po posebnim propisima , komunalnog doprinosa i  komunalne naknade.</w:t>
      </w:r>
    </w:p>
    <w:p w14:paraId="79E8B85A" w14:textId="77777777" w:rsidR="005563FB" w:rsidRPr="005563FB" w:rsidRDefault="005563FB" w:rsidP="005563FB">
      <w:pPr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-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</w:t>
      </w: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administrativne pristojbe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-  </w:t>
      </w: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651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 sastoje se od:</w:t>
      </w:r>
    </w:p>
    <w:p w14:paraId="6FF55319" w14:textId="4C1BFCB0" w:rsidR="005563FB" w:rsidRP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-gradske pristojbe i naknade , prihodi od prodaje državnih biljega, boravišne pristojbe, upravnih pristojbi za izdavanje lokacijskih dozvola i drugih akata vezanih uz  provedbu dokumenata prostornog uređenja i građenja na području Grada te na prihode od naknada za obavljanje autotaksi prijevoza. Planira se prihod od 1,</w:t>
      </w:r>
      <w:r w:rsidR="008F1C32">
        <w:rPr>
          <w:rFonts w:asciiTheme="minorHAnsi" w:eastAsia="Calibri" w:hAnsiTheme="minorHAnsi" w:cs="Calibri"/>
          <w:sz w:val="24"/>
          <w:szCs w:val="24"/>
        </w:rPr>
        <w:t>9</w:t>
      </w:r>
      <w:r w:rsidRPr="005563FB">
        <w:rPr>
          <w:rFonts w:asciiTheme="minorHAnsi" w:eastAsia="Calibri" w:hAnsiTheme="minorHAnsi" w:cs="Calibri"/>
          <w:sz w:val="24"/>
          <w:szCs w:val="24"/>
        </w:rPr>
        <w:t>5 mil.kuna.</w:t>
      </w:r>
    </w:p>
    <w:p w14:paraId="3181D068" w14:textId="77777777" w:rsidR="005563FB" w:rsidRPr="005563FB" w:rsidRDefault="005563FB" w:rsidP="005563FB">
      <w:pPr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-prihodi po posebnim propisima -  652</w:t>
      </w:r>
    </w:p>
    <w:p w14:paraId="5C24F607" w14:textId="38954EDC" w:rsidR="005563FB" w:rsidRPr="00F64A87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Planirani su u ukupnom iznosu od 1</w:t>
      </w:r>
      <w:r w:rsidR="008F1C32">
        <w:rPr>
          <w:rFonts w:asciiTheme="minorHAnsi" w:eastAsia="Calibri" w:hAnsiTheme="minorHAnsi" w:cs="Calibri"/>
          <w:sz w:val="24"/>
          <w:szCs w:val="24"/>
        </w:rPr>
        <w:t>0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8F1C32">
        <w:rPr>
          <w:rFonts w:asciiTheme="minorHAnsi" w:eastAsia="Calibri" w:hAnsiTheme="minorHAnsi" w:cs="Calibri"/>
          <w:sz w:val="24"/>
          <w:szCs w:val="24"/>
        </w:rPr>
        <w:t>68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mil.kuna a sastoje se od prihoda  prodaje grobnih mjesta, </w:t>
      </w:r>
      <w:r w:rsidRPr="00F64A87">
        <w:rPr>
          <w:rFonts w:asciiTheme="minorHAnsi" w:eastAsia="Calibri" w:hAnsiTheme="minorHAnsi" w:cs="Calibri"/>
          <w:sz w:val="24"/>
          <w:szCs w:val="24"/>
        </w:rPr>
        <w:t>prenamjene poljoprivrednog zemljišta , participacija u cijeni usluga za građane</w:t>
      </w:r>
      <w:r w:rsidR="00F64A87" w:rsidRPr="00F64A87">
        <w:rPr>
          <w:rFonts w:asciiTheme="minorHAnsi" w:eastAsia="Calibri" w:hAnsiTheme="minorHAnsi" w:cs="Calibri"/>
          <w:sz w:val="24"/>
          <w:szCs w:val="24"/>
        </w:rPr>
        <w:t xml:space="preserve"> za cijenu vrtića</w:t>
      </w:r>
      <w:r w:rsidRPr="00F64A87">
        <w:rPr>
          <w:rFonts w:asciiTheme="minorHAnsi" w:eastAsia="Calibri" w:hAnsiTheme="minorHAnsi" w:cs="Calibri"/>
          <w:sz w:val="24"/>
          <w:szCs w:val="24"/>
        </w:rPr>
        <w:t xml:space="preserve">  te naplata usluge koju vršimo za Hrvatske vode. </w:t>
      </w:r>
    </w:p>
    <w:p w14:paraId="10FF58FE" w14:textId="77777777" w:rsidR="005563FB" w:rsidRPr="005563FB" w:rsidRDefault="005563FB" w:rsidP="005563FB">
      <w:pPr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- </w:t>
      </w: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komunalni doprinosi i naknade - 653</w:t>
      </w:r>
    </w:p>
    <w:p w14:paraId="2F05B1B6" w14:textId="2363C767" w:rsidR="005563FB" w:rsidRP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Planiraju se u iznosu od </w:t>
      </w:r>
      <w:r w:rsidR="008F1C32">
        <w:rPr>
          <w:rFonts w:asciiTheme="minorHAnsi" w:eastAsia="Calibri" w:hAnsiTheme="minorHAnsi" w:cs="Calibri"/>
          <w:sz w:val="24"/>
          <w:szCs w:val="24"/>
        </w:rPr>
        <w:t>43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8F1C32">
        <w:rPr>
          <w:rFonts w:asciiTheme="minorHAnsi" w:eastAsia="Calibri" w:hAnsiTheme="minorHAnsi" w:cs="Calibri"/>
          <w:sz w:val="24"/>
          <w:szCs w:val="24"/>
        </w:rPr>
        <w:t>01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mil.kuna a podliježu namjenskom trošenju, isključivo za održavanje i izgradnju komunalne infrastrukture. Raspored trošenja tih sredstava vidljiv je iz Programa za izgradnju odjela za komunalu , dok je Program održavanja iskazan u djelatnosti Vlastitog pogona te komunalnog odjela. Komunalni doprinos se planira u iznosu od 1</w:t>
      </w:r>
      <w:r w:rsidR="008F1C32">
        <w:rPr>
          <w:rFonts w:asciiTheme="minorHAnsi" w:eastAsia="Calibri" w:hAnsiTheme="minorHAnsi" w:cs="Calibri"/>
          <w:sz w:val="24"/>
          <w:szCs w:val="24"/>
        </w:rPr>
        <w:t>1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mil.kuna a komunalna naknada </w:t>
      </w:r>
      <w:r w:rsidR="008F1C32">
        <w:rPr>
          <w:rFonts w:asciiTheme="minorHAnsi" w:eastAsia="Calibri" w:hAnsiTheme="minorHAnsi" w:cs="Calibri"/>
          <w:sz w:val="24"/>
          <w:szCs w:val="24"/>
        </w:rPr>
        <w:t>32</w:t>
      </w:r>
      <w:r w:rsidRPr="005563FB">
        <w:rPr>
          <w:rFonts w:asciiTheme="minorHAnsi" w:eastAsia="Calibri" w:hAnsiTheme="minorHAnsi" w:cs="Calibri"/>
          <w:sz w:val="24"/>
          <w:szCs w:val="24"/>
        </w:rPr>
        <w:t>,00 mil.kuna .</w:t>
      </w:r>
    </w:p>
    <w:p w14:paraId="18564947" w14:textId="77777777" w:rsidR="00E0529B" w:rsidRPr="005563FB" w:rsidRDefault="00E0529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4145EB2E" w14:textId="77777777" w:rsidR="005563FB" w:rsidRPr="005563FB" w:rsidRDefault="005563FB" w:rsidP="005563FB">
      <w:pPr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 xml:space="preserve"> Ostali prihodi – skupina  66</w:t>
      </w:r>
    </w:p>
    <w:p w14:paraId="325C1B01" w14:textId="3D17781A" w:rsidR="005563FB" w:rsidRP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Planiraju se u iznosu  od </w:t>
      </w:r>
      <w:r w:rsidR="005133BE">
        <w:rPr>
          <w:rFonts w:asciiTheme="minorHAnsi" w:eastAsia="Calibri" w:hAnsiTheme="minorHAnsi" w:cs="Calibri"/>
          <w:sz w:val="24"/>
          <w:szCs w:val="24"/>
        </w:rPr>
        <w:t>2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5133BE">
        <w:rPr>
          <w:rFonts w:asciiTheme="minorHAnsi" w:eastAsia="Calibri" w:hAnsiTheme="minorHAnsi" w:cs="Calibri"/>
          <w:sz w:val="24"/>
          <w:szCs w:val="24"/>
        </w:rPr>
        <w:t>75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 kuna,a  odnose se u najvećem dijelu na vlastite prihode (grobne usluge, ...)  te donacije investitora (za proračunske korisnike). Manji dio  predstavljaju  prihodi od pazarine i rezervacije prodajnog mjesta. </w:t>
      </w:r>
    </w:p>
    <w:p w14:paraId="1284C04B" w14:textId="77777777" w:rsidR="005563FB" w:rsidRPr="005563FB" w:rsidRDefault="005563FB" w:rsidP="005563FB">
      <w:pPr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Kazne,upravne pristoje i ostali prihodi – skupina  68</w:t>
      </w:r>
    </w:p>
    <w:p w14:paraId="09D1C94D" w14:textId="6B66BF3C" w:rsidR="005563FB" w:rsidRP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Planiraju je u iznosu od </w:t>
      </w:r>
      <w:r w:rsidR="005133BE">
        <w:rPr>
          <w:rFonts w:asciiTheme="minorHAnsi" w:eastAsia="Calibri" w:hAnsiTheme="minorHAnsi" w:cs="Calibri"/>
          <w:sz w:val="24"/>
          <w:szCs w:val="24"/>
        </w:rPr>
        <w:t>5</w:t>
      </w:r>
      <w:r w:rsidRPr="005563FB">
        <w:rPr>
          <w:rFonts w:asciiTheme="minorHAnsi" w:eastAsia="Calibri" w:hAnsiTheme="minorHAnsi" w:cs="Calibri"/>
          <w:sz w:val="24"/>
          <w:szCs w:val="24"/>
        </w:rPr>
        <w:t>2</w:t>
      </w:r>
      <w:r w:rsidR="005133BE">
        <w:rPr>
          <w:rFonts w:asciiTheme="minorHAnsi" w:eastAsia="Calibri" w:hAnsiTheme="minorHAnsi" w:cs="Calibri"/>
          <w:sz w:val="24"/>
          <w:szCs w:val="24"/>
        </w:rPr>
        <w:t>8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.000,00 kn od čega za kazne </w:t>
      </w:r>
      <w:r w:rsidR="005133BE">
        <w:rPr>
          <w:rFonts w:asciiTheme="minorHAnsi" w:eastAsia="Calibri" w:hAnsiTheme="minorHAnsi" w:cs="Calibri"/>
          <w:sz w:val="24"/>
          <w:szCs w:val="24"/>
        </w:rPr>
        <w:t>4</w:t>
      </w:r>
      <w:r w:rsidRPr="005563FB">
        <w:rPr>
          <w:rFonts w:asciiTheme="minorHAnsi" w:eastAsia="Calibri" w:hAnsiTheme="minorHAnsi" w:cs="Calibri"/>
          <w:sz w:val="24"/>
          <w:szCs w:val="24"/>
        </w:rPr>
        <w:t>2</w:t>
      </w:r>
      <w:r w:rsidR="005133BE">
        <w:rPr>
          <w:rFonts w:asciiTheme="minorHAnsi" w:eastAsia="Calibri" w:hAnsiTheme="minorHAnsi" w:cs="Calibri"/>
          <w:sz w:val="24"/>
          <w:szCs w:val="24"/>
        </w:rPr>
        <w:t>8</w:t>
      </w:r>
      <w:r w:rsidRPr="005563FB">
        <w:rPr>
          <w:rFonts w:asciiTheme="minorHAnsi" w:eastAsia="Calibri" w:hAnsiTheme="minorHAnsi" w:cs="Calibri"/>
          <w:sz w:val="24"/>
          <w:szCs w:val="24"/>
        </w:rPr>
        <w:t>.000,00 kn .</w:t>
      </w:r>
    </w:p>
    <w:p w14:paraId="50245076" w14:textId="77777777" w:rsidR="005563FB" w:rsidRPr="005563FB" w:rsidRDefault="005563FB" w:rsidP="005563FB">
      <w:pPr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 xml:space="preserve"> </w:t>
      </w: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ab/>
        <w:t xml:space="preserve">Prihodi od prodaje nefinancijske imovine -razred  7 1 </w:t>
      </w:r>
    </w:p>
    <w:p w14:paraId="1C2F8F45" w14:textId="762BD01D" w:rsidR="005563FB" w:rsidRP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Planirani su u iznosu od 1</w:t>
      </w:r>
      <w:r w:rsidR="005133BE">
        <w:rPr>
          <w:rFonts w:asciiTheme="minorHAnsi" w:eastAsia="Calibri" w:hAnsiTheme="minorHAnsi" w:cs="Calibri"/>
          <w:sz w:val="24"/>
          <w:szCs w:val="24"/>
        </w:rPr>
        <w:t>00.000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kuna .</w:t>
      </w:r>
    </w:p>
    <w:p w14:paraId="6797F9B8" w14:textId="77777777" w:rsidR="005563FB" w:rsidRPr="005563FB" w:rsidRDefault="005563FB" w:rsidP="005563FB">
      <w:pPr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 xml:space="preserve">Prihodi od prodaje nefinancijske imovine -razred  7 2 </w:t>
      </w:r>
    </w:p>
    <w:p w14:paraId="4C53F5C3" w14:textId="547F4C34" w:rsidR="005563FB" w:rsidRP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Planirani su u iznosu od </w:t>
      </w:r>
      <w:r w:rsidR="005133BE">
        <w:rPr>
          <w:rFonts w:asciiTheme="minorHAnsi" w:eastAsia="Calibri" w:hAnsiTheme="minorHAnsi" w:cs="Calibri"/>
          <w:sz w:val="24"/>
          <w:szCs w:val="24"/>
        </w:rPr>
        <w:t>1</w:t>
      </w:r>
      <w:r w:rsidRPr="005563FB">
        <w:rPr>
          <w:rFonts w:asciiTheme="minorHAnsi" w:eastAsia="Calibri" w:hAnsiTheme="minorHAnsi" w:cs="Calibri"/>
          <w:sz w:val="24"/>
          <w:szCs w:val="24"/>
        </w:rPr>
        <w:t>00.000 kuna a odnose se na uplate za otkupe stanova.</w:t>
      </w:r>
    </w:p>
    <w:p w14:paraId="4C082596" w14:textId="77777777" w:rsidR="005563FB" w:rsidRPr="005563FB" w:rsidRDefault="005563FB" w:rsidP="005563FB">
      <w:pPr>
        <w:jc w:val="both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ab/>
      </w: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Primici od zaduživanja – razred 84</w:t>
      </w:r>
    </w:p>
    <w:p w14:paraId="6F96CCF9" w14:textId="11D99E01" w:rsidR="005563FB" w:rsidRP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Planirani su u iznosu od </w:t>
      </w:r>
      <w:r w:rsidR="005133BE">
        <w:rPr>
          <w:rFonts w:asciiTheme="minorHAnsi" w:eastAsia="Calibri" w:hAnsiTheme="minorHAnsi" w:cs="Calibri"/>
          <w:sz w:val="24"/>
          <w:szCs w:val="24"/>
        </w:rPr>
        <w:t>1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5133BE">
        <w:rPr>
          <w:rFonts w:asciiTheme="minorHAnsi" w:eastAsia="Calibri" w:hAnsiTheme="minorHAnsi" w:cs="Calibri"/>
          <w:sz w:val="24"/>
          <w:szCs w:val="24"/>
        </w:rPr>
        <w:t xml:space="preserve">518 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mil.kn  a namijenjeni su za </w:t>
      </w:r>
      <w:r w:rsidR="005133BE">
        <w:rPr>
          <w:rFonts w:asciiTheme="minorHAnsi" w:eastAsia="Calibri" w:hAnsiTheme="minorHAnsi" w:cs="Calibri"/>
          <w:sz w:val="24"/>
          <w:szCs w:val="24"/>
        </w:rPr>
        <w:t xml:space="preserve">nabavku </w:t>
      </w:r>
      <w:r w:rsidR="00544317">
        <w:rPr>
          <w:rFonts w:asciiTheme="minorHAnsi" w:eastAsia="Calibri" w:hAnsiTheme="minorHAnsi" w:cs="Calibri"/>
          <w:sz w:val="24"/>
          <w:szCs w:val="24"/>
        </w:rPr>
        <w:t>kamiona</w:t>
      </w:r>
      <w:r w:rsidR="005133BE">
        <w:rPr>
          <w:rFonts w:asciiTheme="minorHAnsi" w:eastAsia="Calibri" w:hAnsiTheme="minorHAnsi" w:cs="Calibri"/>
          <w:sz w:val="24"/>
          <w:szCs w:val="24"/>
        </w:rPr>
        <w:t xml:space="preserve"> za potrebe Vlastitog pogona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</w:p>
    <w:p w14:paraId="165E6E76" w14:textId="77777777" w:rsidR="005563FB" w:rsidRPr="00C027A0" w:rsidRDefault="00B25B3D" w:rsidP="005563FB">
      <w:pPr>
        <w:pStyle w:val="Naslov2"/>
        <w:rPr>
          <w:sz w:val="26"/>
          <w:szCs w:val="26"/>
        </w:rPr>
      </w:pPr>
      <w:bookmarkStart w:id="23" w:name="_Toc88555246"/>
      <w:r w:rsidRPr="00C027A0">
        <w:rPr>
          <w:sz w:val="26"/>
          <w:szCs w:val="26"/>
        </w:rPr>
        <w:t xml:space="preserve">3.2. </w:t>
      </w:r>
      <w:r w:rsidR="005563FB" w:rsidRPr="00C027A0">
        <w:rPr>
          <w:sz w:val="26"/>
          <w:szCs w:val="26"/>
        </w:rPr>
        <w:t>RASHODI I IZDACI</w:t>
      </w:r>
      <w:bookmarkEnd w:id="23"/>
    </w:p>
    <w:p w14:paraId="55066BBB" w14:textId="32886969" w:rsid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Planirani iznos rashoda i izdataka u 202</w:t>
      </w:r>
      <w:r w:rsidR="00F64A87">
        <w:rPr>
          <w:rFonts w:asciiTheme="minorHAnsi" w:eastAsia="Calibri" w:hAnsiTheme="minorHAnsi" w:cs="Calibri"/>
          <w:sz w:val="24"/>
          <w:szCs w:val="24"/>
        </w:rPr>
        <w:t>2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. godini raspodijeljen je tako da planirani rashodi poslovanja  iznose </w:t>
      </w:r>
      <w:r w:rsidR="00F64A87" w:rsidRPr="00F64A87">
        <w:rPr>
          <w:rFonts w:asciiTheme="minorHAnsi" w:eastAsia="Calibri" w:hAnsiTheme="minorHAnsi" w:cs="Calibri"/>
          <w:sz w:val="24"/>
          <w:szCs w:val="24"/>
        </w:rPr>
        <w:t>147.386.100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kuna ili  </w:t>
      </w:r>
      <w:r w:rsidR="00F64A87">
        <w:rPr>
          <w:rFonts w:asciiTheme="minorHAnsi" w:eastAsia="Calibri" w:hAnsiTheme="minorHAnsi" w:cs="Calibri"/>
          <w:sz w:val="24"/>
          <w:szCs w:val="24"/>
        </w:rPr>
        <w:t>77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F64A87">
        <w:rPr>
          <w:rFonts w:asciiTheme="minorHAnsi" w:eastAsia="Calibri" w:hAnsiTheme="minorHAnsi" w:cs="Calibri"/>
          <w:sz w:val="24"/>
          <w:szCs w:val="24"/>
        </w:rPr>
        <w:t>27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% ukupnih rashoda i izdataka, dok su rashodi za nabavu nefinancijske imovine planirani u iznosu od </w:t>
      </w:r>
      <w:r w:rsidR="00F64A87" w:rsidRPr="00F64A87">
        <w:rPr>
          <w:rFonts w:asciiTheme="minorHAnsi" w:eastAsia="Calibri" w:hAnsiTheme="minorHAnsi" w:cs="Calibri"/>
          <w:sz w:val="24"/>
          <w:szCs w:val="24"/>
        </w:rPr>
        <w:t>35.560.550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kuna ili  </w:t>
      </w:r>
      <w:r w:rsidR="00F64A87">
        <w:rPr>
          <w:rFonts w:asciiTheme="minorHAnsi" w:eastAsia="Calibri" w:hAnsiTheme="minorHAnsi" w:cs="Calibri"/>
          <w:sz w:val="24"/>
          <w:szCs w:val="24"/>
        </w:rPr>
        <w:t>18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F64A87">
        <w:rPr>
          <w:rFonts w:asciiTheme="minorHAnsi" w:eastAsia="Calibri" w:hAnsiTheme="minorHAnsi" w:cs="Calibri"/>
          <w:sz w:val="24"/>
          <w:szCs w:val="24"/>
        </w:rPr>
        <w:t>64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% ukupnih rashoda i izdataka a izdaci za financijsku imovinu i otplate zajmova iznose</w:t>
      </w:r>
      <w:r w:rsidRPr="005563FB">
        <w:rPr>
          <w:rFonts w:asciiTheme="minorHAnsi" w:eastAsiaTheme="minorHAnsi" w:hAnsiTheme="minorHAnsi" w:cstheme="minorBidi"/>
        </w:rPr>
        <w:t xml:space="preserve"> </w:t>
      </w:r>
      <w:r w:rsidR="00F64A87" w:rsidRPr="00F64A87">
        <w:rPr>
          <w:rFonts w:asciiTheme="minorHAnsi" w:eastAsiaTheme="minorHAnsi" w:hAnsiTheme="minorHAnsi" w:cstheme="minorBidi"/>
        </w:rPr>
        <w:t>7.800.000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kn i čine </w:t>
      </w:r>
      <w:r w:rsidR="00F64A87">
        <w:rPr>
          <w:rFonts w:asciiTheme="minorHAnsi" w:eastAsia="Calibri" w:hAnsiTheme="minorHAnsi" w:cs="Calibri"/>
          <w:sz w:val="24"/>
          <w:szCs w:val="24"/>
        </w:rPr>
        <w:t>4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F64A87">
        <w:rPr>
          <w:rFonts w:asciiTheme="minorHAnsi" w:eastAsia="Calibri" w:hAnsiTheme="minorHAnsi" w:cs="Calibri"/>
          <w:sz w:val="24"/>
          <w:szCs w:val="24"/>
        </w:rPr>
        <w:t>09</w:t>
      </w:r>
      <w:r w:rsidR="00002228">
        <w:rPr>
          <w:rFonts w:asciiTheme="minorHAnsi" w:eastAsia="Calibri" w:hAnsiTheme="minorHAnsi" w:cs="Calibri"/>
          <w:sz w:val="24"/>
          <w:szCs w:val="24"/>
        </w:rPr>
        <w:t xml:space="preserve"> 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% ukupnih rashoda i izdataka.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73"/>
        <w:gridCol w:w="4111"/>
        <w:gridCol w:w="1134"/>
        <w:gridCol w:w="1134"/>
        <w:gridCol w:w="1134"/>
        <w:gridCol w:w="850"/>
        <w:gridCol w:w="850"/>
      </w:tblGrid>
      <w:tr w:rsidR="00B27865" w:rsidRPr="00B27865" w14:paraId="41F0A674" w14:textId="77777777" w:rsidTr="00101AA5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EFA6B1A" w14:textId="77777777" w:rsidR="00B27865" w:rsidRPr="00101AA5" w:rsidRDefault="00B27865" w:rsidP="00B27865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  <w:lang w:eastAsia="hr-HR"/>
              </w:rPr>
            </w:pPr>
            <w:r w:rsidRPr="00101AA5">
              <w:rPr>
                <w:rFonts w:cs="Calibri"/>
                <w:b/>
                <w:bCs/>
                <w:sz w:val="14"/>
                <w:szCs w:val="14"/>
                <w:lang w:eastAsia="hr-HR"/>
              </w:rPr>
              <w:t>Račun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EB8B67" w14:textId="77777777" w:rsidR="00B27865" w:rsidRPr="00B27865" w:rsidRDefault="00B27865" w:rsidP="00B27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4FC8C9" w14:textId="77777777" w:rsidR="00B27865" w:rsidRPr="00B27865" w:rsidRDefault="00B27865" w:rsidP="00B27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9D67CBF" w14:textId="77777777" w:rsidR="00B27865" w:rsidRPr="00B27865" w:rsidRDefault="00B27865" w:rsidP="00B27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sz w:val="18"/>
                <w:szCs w:val="18"/>
                <w:lang w:eastAsia="hr-HR"/>
              </w:rPr>
              <w:t>Razlika 2022-2021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47C67EE" w14:textId="77777777" w:rsidR="00B27865" w:rsidRPr="00B27865" w:rsidRDefault="00B27865" w:rsidP="00B27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ABE64F" w14:textId="77777777" w:rsidR="00B27865" w:rsidRPr="00B27865" w:rsidRDefault="00B27865" w:rsidP="00B27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AF3E2A" w14:textId="77777777" w:rsidR="00B27865" w:rsidRPr="00B27865" w:rsidRDefault="00B27865" w:rsidP="00B27865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sz w:val="18"/>
                <w:szCs w:val="18"/>
                <w:lang w:eastAsia="hr-HR"/>
              </w:rPr>
              <w:t>Udjel 2022.</w:t>
            </w:r>
          </w:p>
        </w:tc>
      </w:tr>
      <w:tr w:rsidR="00B27865" w:rsidRPr="00B27865" w14:paraId="12F4CFAF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77C6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B348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AE85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48.145.402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E43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-1.067.002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82F3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47.078.400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841D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97,78%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0C3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24,68%</w:t>
            </w:r>
          </w:p>
        </w:tc>
      </w:tr>
      <w:tr w:rsidR="00B27865" w:rsidRPr="00B27865" w14:paraId="7A674FA1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3268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A4B5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A74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38.523.597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C588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-496.597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D1B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38.027.000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351F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98,71%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9F5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19,94%</w:t>
            </w:r>
          </w:p>
        </w:tc>
      </w:tr>
      <w:tr w:rsidR="00B27865" w:rsidRPr="00B27865" w14:paraId="140E85C5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D111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6380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F5AD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3.282.700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AEF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-586.300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E74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2.696.400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C624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82,14%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3F21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1,41%</w:t>
            </w:r>
          </w:p>
        </w:tc>
      </w:tr>
      <w:tr w:rsidR="00B27865" w:rsidRPr="00B27865" w14:paraId="3BA1AE8B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9390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A93E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96A0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6.339.105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4F91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15.895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468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6.355.000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064E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100,25%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C6F0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3,33%</w:t>
            </w:r>
          </w:p>
        </w:tc>
      </w:tr>
      <w:tr w:rsidR="00B27865" w:rsidRPr="00B27865" w14:paraId="3A8B544E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DDAB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B46C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8221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56.252.552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FF3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-6.734.652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731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49.517.900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3DF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88,03%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6E6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25,96%</w:t>
            </w:r>
          </w:p>
        </w:tc>
      </w:tr>
      <w:tr w:rsidR="00B27865" w:rsidRPr="00B27865" w14:paraId="279720DE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0A82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CC5C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A290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1.892.500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508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17.400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C35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1.909.900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5241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100,92%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3313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1,00%</w:t>
            </w:r>
          </w:p>
        </w:tc>
      </w:tr>
      <w:tr w:rsidR="00B27865" w:rsidRPr="00B27865" w14:paraId="31D8A2F2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AAA1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D55A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C910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9.251.300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762F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-353.000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96D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8.898.300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28B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96,18%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20E4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4,66%</w:t>
            </w:r>
          </w:p>
        </w:tc>
      </w:tr>
      <w:tr w:rsidR="00B27865" w:rsidRPr="00B27865" w14:paraId="3E6D1FC2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E8C4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92A7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D648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40.410.652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31D1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-4.976.652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F87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35.434.000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D4D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87,68%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B77D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18,58%</w:t>
            </w:r>
          </w:p>
        </w:tc>
      </w:tr>
      <w:tr w:rsidR="00B27865" w:rsidRPr="00B27865" w14:paraId="3DFC36B7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3E26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2E7D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66D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77.600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7854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-36.200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19E4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41.400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FE8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53,35%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F59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0,02%</w:t>
            </w:r>
          </w:p>
        </w:tc>
      </w:tr>
      <w:tr w:rsidR="00B27865" w:rsidRPr="00B27865" w14:paraId="358096F4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EA8B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84BB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B02E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4.620.500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C20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-1.386.200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875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3.234.300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1E06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70,00%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AAF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1,70%</w:t>
            </w:r>
          </w:p>
        </w:tc>
      </w:tr>
      <w:tr w:rsidR="00B27865" w:rsidRPr="00B27865" w14:paraId="3EDF7E63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E496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0F15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622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2.069.001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9374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-993.201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D8ED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1.075.800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EBD0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52,00%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8418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0,56%</w:t>
            </w:r>
          </w:p>
        </w:tc>
      </w:tr>
      <w:tr w:rsidR="00B27865" w:rsidRPr="00B27865" w14:paraId="43BD5F02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647F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2F61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94DF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2.069.001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19F0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-993.201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C775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1.075.800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A0F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52,00%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FF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0,56%</w:t>
            </w:r>
          </w:p>
        </w:tc>
      </w:tr>
      <w:tr w:rsidR="00B27865" w:rsidRPr="00B27865" w14:paraId="725D8DEA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ACDD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6BA8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EFE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2.420.300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9C5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10.114.700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1950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12.535.000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EC20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517,91%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6E34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6,57%</w:t>
            </w:r>
          </w:p>
        </w:tc>
      </w:tr>
      <w:tr w:rsidR="00B27865" w:rsidRPr="00B27865" w14:paraId="7A811CC1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3FB9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5D79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Subvencije trgovačkim društvima u javnom sektoru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A673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6C28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2754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917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54CE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B27865" w:rsidRPr="00B27865" w14:paraId="05127F5B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019D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B449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1C9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1.920.300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0FBF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10.614.700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D705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12.535.000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C358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652,76%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C95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6,57%</w:t>
            </w:r>
          </w:p>
        </w:tc>
      </w:tr>
      <w:tr w:rsidR="00B27865" w:rsidRPr="00B27865" w14:paraId="4DF7ADDE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6AB3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280C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Potpore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381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3.480.000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9B2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-2.090.000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137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1.390.000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555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39,94%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980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0,73%</w:t>
            </w:r>
          </w:p>
        </w:tc>
      </w:tr>
      <w:tr w:rsidR="00B27865" w:rsidRPr="00B27865" w14:paraId="08423A0E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0F9E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DE70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Potpore unutar opće države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57D0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555.000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9A6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-205.000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6B70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350.000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71A5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63,06%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521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0,18%</w:t>
            </w:r>
          </w:p>
        </w:tc>
      </w:tr>
      <w:tr w:rsidR="00B27865" w:rsidRPr="00B27865" w14:paraId="6DD887B3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D03F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04AF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9AE5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2.925.000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1D8D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-1.885.000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ACA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1.040.000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2578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35,56%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1E0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0,55%</w:t>
            </w:r>
          </w:p>
        </w:tc>
      </w:tr>
      <w:tr w:rsidR="00B27865" w:rsidRPr="00B27865" w14:paraId="64A49CF0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D9F6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76A1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C42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8.006.000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A2F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133.000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263D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8.139.000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CEB3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101,66%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6903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4,27%</w:t>
            </w:r>
          </w:p>
        </w:tc>
      </w:tr>
      <w:tr w:rsidR="00B27865" w:rsidRPr="00B27865" w14:paraId="52B027FB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7EFA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03DB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A38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8.006.000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4A0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133.000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1203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8.139.000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A40E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101,66%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71F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4,27%</w:t>
            </w:r>
          </w:p>
        </w:tc>
      </w:tr>
      <w:tr w:rsidR="00B27865" w:rsidRPr="00B27865" w14:paraId="49944949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A492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4D75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41DE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40.260.850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BC9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-12.610.850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9A24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27.650.000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3F6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68,68%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4015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14,50%</w:t>
            </w:r>
          </w:p>
        </w:tc>
      </w:tr>
      <w:tr w:rsidR="00B27865" w:rsidRPr="00B27865" w14:paraId="7034E054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3F79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E983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174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27.445.000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3D6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-9.945.000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C295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17.500.000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950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63,76%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677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9,17%</w:t>
            </w:r>
          </w:p>
        </w:tc>
      </w:tr>
      <w:tr w:rsidR="00B27865" w:rsidRPr="00B27865" w14:paraId="4963F3E0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E017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A9A5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103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4.160.000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99D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-1.550.000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01AF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2.610.000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66F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62,74%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347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1,37%</w:t>
            </w:r>
          </w:p>
        </w:tc>
      </w:tr>
      <w:tr w:rsidR="00B27865" w:rsidRPr="00B27865" w14:paraId="5DDB358A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C420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BABF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Kazne, penali i naknade štete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F0ED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8F23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FFC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190.000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C90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8488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0,10%</w:t>
            </w:r>
          </w:p>
        </w:tc>
      </w:tr>
      <w:tr w:rsidR="00B27865" w:rsidRPr="00B27865" w14:paraId="65A7384F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CAB2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E729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0D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8.465.850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E52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-1.115.850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017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7.350.000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5AA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86,82%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388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3,85%</w:t>
            </w:r>
          </w:p>
        </w:tc>
      </w:tr>
      <w:tr w:rsidR="00B27865" w:rsidRPr="00B27865" w14:paraId="615F0BA9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2CA7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E979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Rashodi za nabavu neproizvedene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828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29.039.310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3808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-20.102.310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4D3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8.937.000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2DA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30,78%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C82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4,69%</w:t>
            </w:r>
          </w:p>
        </w:tc>
      </w:tr>
      <w:tr w:rsidR="00B27865" w:rsidRPr="00B27865" w14:paraId="7A0A39B3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3DC5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6D34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5E66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23.785.010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484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-20.485.010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4BE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3.300.000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8A8D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13,87%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0E73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1,73%</w:t>
            </w:r>
          </w:p>
        </w:tc>
      </w:tr>
      <w:tr w:rsidR="00B27865" w:rsidRPr="00B27865" w14:paraId="01EEF4C5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85D4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1552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B5A4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5.254.300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400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382.700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122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5.637.000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323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107,28%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5B58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2,96%</w:t>
            </w:r>
          </w:p>
        </w:tc>
      </w:tr>
      <w:tr w:rsidR="00B27865" w:rsidRPr="00B27865" w14:paraId="1F657E22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ED14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E4FF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D51E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12.259.600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A881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2.538.950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3713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14.798.550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C86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120,71%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75A8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7,76%</w:t>
            </w:r>
          </w:p>
        </w:tc>
      </w:tr>
      <w:tr w:rsidR="00B27865" w:rsidRPr="00B27865" w14:paraId="35E3ADF4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9880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182E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609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3.385.000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96C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2.015.000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889E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5.400.000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E8F3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159,53%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53B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2,83%</w:t>
            </w:r>
          </w:p>
        </w:tc>
      </w:tr>
      <w:tr w:rsidR="00B27865" w:rsidRPr="00B27865" w14:paraId="380C603F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3EC2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7F81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486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6.988.100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C81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-807.800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4CC3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6.180.300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9AF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88,44%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1CE5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3,24%</w:t>
            </w:r>
          </w:p>
        </w:tc>
      </w:tr>
      <w:tr w:rsidR="00B27865" w:rsidRPr="00B27865" w14:paraId="05A6A998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2FAC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AAB6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B7B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0E9E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1.698.750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8CE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1.698.750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5B06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DE9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0,89%</w:t>
            </w:r>
          </w:p>
        </w:tc>
      </w:tr>
      <w:tr w:rsidR="00B27865" w:rsidRPr="00B27865" w14:paraId="73B2C143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D20E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58DF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518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331.500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A52D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40.500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6FDD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372.000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33D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112,22%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F005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0,20%</w:t>
            </w:r>
          </w:p>
        </w:tc>
      </w:tr>
      <w:tr w:rsidR="00B27865" w:rsidRPr="00B27865" w14:paraId="4C8E4E08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1230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962D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14E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1.555.000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234F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-407.500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606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1.147.500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D718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73,79%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6E9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0,60%</w:t>
            </w:r>
          </w:p>
        </w:tc>
      </w:tr>
      <w:tr w:rsidR="00B27865" w:rsidRPr="00B27865" w14:paraId="10FA2828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7063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3385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Rashodi za plemenite metale, umjetnička i znanstvena djela i ostale vrijednosti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5FF1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663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-5.000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E2C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34C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90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B27865" w:rsidRPr="00B27865" w14:paraId="43F840A7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459E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BC5B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Plemeniti metali, umjetnička i znanstvena djela i ostale vrijednosti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AF7F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7D11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DE86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A35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50,00%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AA6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B27865" w:rsidRPr="00B27865" w14:paraId="61E14B9A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1259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A556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DF9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19.275.000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37D2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-7.455.000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261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11.820.000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200B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61,32%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F7C0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6,20%</w:t>
            </w:r>
          </w:p>
        </w:tc>
      </w:tr>
      <w:tr w:rsidR="00B27865" w:rsidRPr="00B27865" w14:paraId="636BEE06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3E65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6E4C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4FFE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19.205.000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C32D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-7.455.000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7195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11.750.000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51F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61,18%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8610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6,16%</w:t>
            </w:r>
          </w:p>
        </w:tc>
      </w:tr>
      <w:tr w:rsidR="00B27865" w:rsidRPr="00B27865" w14:paraId="574FB66F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50B2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8173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Dodatna ulaganja na postrojenjima i opremi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E8E0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B9E3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EB25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AE55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95B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0,04%</w:t>
            </w:r>
          </w:p>
        </w:tc>
      </w:tr>
      <w:tr w:rsidR="00B27865" w:rsidRPr="00B27865" w14:paraId="1FAC5BEF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A1E2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219D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3497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534F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-2.200.000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B7FE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7.800.000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7141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78,00%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8643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4,09%</w:t>
            </w:r>
          </w:p>
        </w:tc>
      </w:tr>
      <w:tr w:rsidR="00B27865" w:rsidRPr="00B27865" w14:paraId="722D9DB9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9E04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D027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Otplata glavnice primljenih zajmova od drugih razina vlasti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33B3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10.000.000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111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-2.200.000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D954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7.800.000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3EE8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78,00%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50DA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color w:val="000000"/>
                <w:sz w:val="18"/>
                <w:szCs w:val="18"/>
                <w:lang w:eastAsia="hr-HR"/>
              </w:rPr>
              <w:t>4,09%</w:t>
            </w:r>
          </w:p>
        </w:tc>
      </w:tr>
      <w:tr w:rsidR="00B27865" w:rsidRPr="00B27865" w14:paraId="2A6B76A0" w14:textId="77777777" w:rsidTr="00101AA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B08BCF0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453167" w14:textId="77777777" w:rsidR="00B27865" w:rsidRPr="00B27865" w:rsidRDefault="00B27865" w:rsidP="00B2786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85440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sz w:val="18"/>
                <w:szCs w:val="18"/>
                <w:lang w:eastAsia="hr-HR"/>
              </w:rPr>
              <w:t>231.218.015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9004C9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sz w:val="18"/>
                <w:szCs w:val="18"/>
                <w:lang w:eastAsia="hr-HR"/>
              </w:rPr>
              <w:t>-40.471.365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5143BB4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sz w:val="18"/>
                <w:szCs w:val="18"/>
                <w:lang w:eastAsia="hr-HR"/>
              </w:rPr>
              <w:t>190.746.650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435A6F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sz w:val="18"/>
                <w:szCs w:val="18"/>
                <w:lang w:eastAsia="hr-HR"/>
              </w:rPr>
              <w:t>82,50%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F1197C" w14:textId="77777777" w:rsidR="00B27865" w:rsidRPr="00B27865" w:rsidRDefault="00B27865" w:rsidP="00B27865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27865">
              <w:rPr>
                <w:rFonts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3640AE66" w14:textId="6A6F3CF1" w:rsidR="00B27865" w:rsidRPr="00B27865" w:rsidRDefault="00B27865" w:rsidP="005563FB">
      <w:pPr>
        <w:jc w:val="both"/>
        <w:rPr>
          <w:rFonts w:asciiTheme="minorHAnsi" w:eastAsia="Calibri" w:hAnsiTheme="minorHAnsi" w:cs="Calibri"/>
          <w:sz w:val="18"/>
          <w:szCs w:val="18"/>
        </w:rPr>
      </w:pPr>
    </w:p>
    <w:p w14:paraId="547DB15C" w14:textId="6719A2FA" w:rsidR="005563FB" w:rsidRP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Najviše rashoda otpada na materijalne rashode 2</w:t>
      </w:r>
      <w:r w:rsidR="00B27865">
        <w:rPr>
          <w:rFonts w:asciiTheme="minorHAnsi" w:eastAsia="Calibri" w:hAnsiTheme="minorHAnsi" w:cs="Calibri"/>
          <w:sz w:val="24"/>
          <w:szCs w:val="24"/>
        </w:rPr>
        <w:t>5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B27865">
        <w:rPr>
          <w:rFonts w:asciiTheme="minorHAnsi" w:eastAsia="Calibri" w:hAnsiTheme="minorHAnsi" w:cs="Calibri"/>
          <w:sz w:val="24"/>
          <w:szCs w:val="24"/>
        </w:rPr>
        <w:t>96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% ( najviše se odnose na rashode za usluge odnosno tekuće i investicijsko održavanje građev.objekata, cesta, javnih površina, groblja</w:t>
      </w:r>
      <w:r w:rsidR="005A3E54">
        <w:rPr>
          <w:rFonts w:asciiTheme="minorHAnsi" w:eastAsia="Calibri" w:hAnsiTheme="minorHAnsi" w:cs="Calibri"/>
          <w:sz w:val="24"/>
          <w:szCs w:val="24"/>
        </w:rPr>
        <w:t>.</w:t>
      </w:r>
    </w:p>
    <w:p w14:paraId="7509E95D" w14:textId="77777777" w:rsidR="005563FB" w:rsidRPr="005563FB" w:rsidRDefault="005563FB" w:rsidP="005563FB">
      <w:pPr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Rashodi za zaposlene – skupina   31</w:t>
      </w:r>
    </w:p>
    <w:p w14:paraId="184A97EA" w14:textId="29D7F72F" w:rsid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Rashodi za zaposlene obuhvaćaju bruto plaće, doprinose na plaće i ostale rashode za zaposlenike gradske uprave, vlastitog pogona i proračunskih korisnika.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681"/>
        <w:gridCol w:w="1276"/>
        <w:gridCol w:w="1134"/>
        <w:gridCol w:w="141"/>
        <w:gridCol w:w="1134"/>
        <w:gridCol w:w="231"/>
        <w:gridCol w:w="769"/>
        <w:gridCol w:w="1127"/>
      </w:tblGrid>
      <w:tr w:rsidR="00F80CEA" w:rsidRPr="00F80CEA" w14:paraId="2BE8096A" w14:textId="77777777" w:rsidTr="00101AA5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6A31D20" w14:textId="77777777" w:rsidR="00F80CEA" w:rsidRPr="00F80CEA" w:rsidRDefault="00F80CEA" w:rsidP="00F80CE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A11D75" w14:textId="77777777" w:rsidR="00F80CEA" w:rsidRPr="00F80CEA" w:rsidRDefault="00F80CEA" w:rsidP="00F80CE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F3DA42" w14:textId="77777777" w:rsidR="00F80CEA" w:rsidRPr="00F80CEA" w:rsidRDefault="00F80CEA" w:rsidP="00F80CE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b/>
                <w:bCs/>
                <w:sz w:val="18"/>
                <w:szCs w:val="18"/>
                <w:lang w:eastAsia="hr-HR"/>
              </w:rPr>
              <w:t>Razlika 2022-2021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08FE20" w14:textId="77777777" w:rsidR="00F80CEA" w:rsidRPr="00F80CEA" w:rsidRDefault="00F80CEA" w:rsidP="00F80CE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09FDE5" w14:textId="77777777" w:rsidR="00F80CEA" w:rsidRPr="00F80CEA" w:rsidRDefault="00F80CEA" w:rsidP="00F80CE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5E2616" w14:textId="77777777" w:rsidR="00F80CEA" w:rsidRPr="00F80CEA" w:rsidRDefault="00F80CEA" w:rsidP="00F80CE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b/>
                <w:bCs/>
                <w:sz w:val="18"/>
                <w:szCs w:val="18"/>
                <w:lang w:eastAsia="hr-HR"/>
              </w:rPr>
              <w:t>Udjel 2022.</w:t>
            </w:r>
          </w:p>
        </w:tc>
      </w:tr>
      <w:tr w:rsidR="00F80CEA" w:rsidRPr="00F80CEA" w14:paraId="0B681DC7" w14:textId="77777777" w:rsidTr="00101A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DEE0" w14:textId="77777777" w:rsidR="00F80CEA" w:rsidRPr="00F80CEA" w:rsidRDefault="00F80CEA" w:rsidP="00F80CE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407F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16.160.000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0B34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920.000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6CCF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17.080.000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0D68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105,69%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0359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36,28%</w:t>
            </w:r>
          </w:p>
        </w:tc>
      </w:tr>
      <w:tr w:rsidR="00F80CEA" w:rsidRPr="00F80CEA" w14:paraId="6809D98E" w14:textId="77777777" w:rsidTr="00101A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1A7F" w14:textId="77777777" w:rsidR="00F80CEA" w:rsidRPr="00F80CEA" w:rsidRDefault="00F80CEA" w:rsidP="00F80CE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PREDŠKOLSKI ODGOJ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4900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14.120.000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5271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246.000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7525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14.366.000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D9D8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101,74%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FF4B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30,52%</w:t>
            </w:r>
          </w:p>
        </w:tc>
      </w:tr>
      <w:tr w:rsidR="00F80CEA" w:rsidRPr="00F80CEA" w14:paraId="14F5AF12" w14:textId="77777777" w:rsidTr="00101A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F96C" w14:textId="77777777" w:rsidR="00F80CEA" w:rsidRPr="00F80CEA" w:rsidRDefault="00F80CEA" w:rsidP="00F80CE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8018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2.502.600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0D15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15.900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BBD7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2.518.500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FF72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100,64%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982D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5,35%</w:t>
            </w:r>
          </w:p>
        </w:tc>
      </w:tr>
      <w:tr w:rsidR="00F80CEA" w:rsidRPr="00F80CEA" w14:paraId="0A8EEB3A" w14:textId="77777777" w:rsidTr="00101A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0C46" w14:textId="77777777" w:rsidR="00F80CEA" w:rsidRPr="00F80CEA" w:rsidRDefault="00F80CEA" w:rsidP="00F80CE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GRADSKA KNJIŽNICA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9EE4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2.190.400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52EA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44.500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BCCA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2.234.900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6CDE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102,03%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7888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4,75%</w:t>
            </w:r>
          </w:p>
        </w:tc>
      </w:tr>
      <w:tr w:rsidR="00F80CEA" w:rsidRPr="00F80CEA" w14:paraId="54F5D9B5" w14:textId="77777777" w:rsidTr="00101A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C02D" w14:textId="77777777" w:rsidR="00F80CEA" w:rsidRPr="00F80CEA" w:rsidRDefault="00F80CEA" w:rsidP="00F80CE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PROGRAM PROMICANJA ŠPORTA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495A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1.257.000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D4B7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39.000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5435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1.296.000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6C64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103,10%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AFA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2,75%</w:t>
            </w:r>
          </w:p>
        </w:tc>
      </w:tr>
      <w:tr w:rsidR="00F80CEA" w:rsidRPr="00F80CEA" w14:paraId="7A1B4CDF" w14:textId="77777777" w:rsidTr="00101A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DA21" w14:textId="77777777" w:rsidR="00F80CEA" w:rsidRPr="00F80CEA" w:rsidRDefault="00F80CEA" w:rsidP="00F80CE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ZAŠTITA OD POŽARA I CIVILNA ZAŠTITA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1AFA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2.152.000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AD61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-2.152.000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43CB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AF9E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1750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F80CEA" w:rsidRPr="00F80CEA" w14:paraId="74DE279F" w14:textId="77777777" w:rsidTr="00101A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0E1D" w14:textId="77777777" w:rsidR="00F80CEA" w:rsidRPr="00F80CEA" w:rsidRDefault="00F80CEA" w:rsidP="00F80CE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AKTIVNOSTI IZ PODRUČJA GOSPODARSTVA I EU FONDOVA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0ED5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2.600.000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BFDE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-1.086.000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9438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1.514.000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09D3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58,23%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C98F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3,22%</w:t>
            </w:r>
          </w:p>
        </w:tc>
      </w:tr>
      <w:tr w:rsidR="00F80CEA" w:rsidRPr="00F80CEA" w14:paraId="6B4C4BED" w14:textId="77777777" w:rsidTr="00101A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F334" w14:textId="77777777" w:rsidR="00F80CEA" w:rsidRPr="00F80CEA" w:rsidRDefault="00F80CEA" w:rsidP="00F80CE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CFDB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406.402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E6B7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232.598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D25E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639.000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62D4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157,23%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0A1A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1,36%</w:t>
            </w:r>
          </w:p>
        </w:tc>
      </w:tr>
      <w:tr w:rsidR="00F80CEA" w:rsidRPr="00F80CEA" w14:paraId="46AC6F37" w14:textId="77777777" w:rsidTr="00101A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C40C" w14:textId="77777777" w:rsidR="00F80CEA" w:rsidRPr="00F80CEA" w:rsidRDefault="00F80CEA" w:rsidP="00F80CE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DJELATNOST VLASTITOG POGONA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F16D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6.757.000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C01D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673.000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C006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7.430.000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7574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109,96%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3B9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color w:val="000000"/>
                <w:sz w:val="18"/>
                <w:szCs w:val="18"/>
                <w:lang w:eastAsia="hr-HR"/>
              </w:rPr>
              <w:t>15,78%</w:t>
            </w:r>
          </w:p>
        </w:tc>
      </w:tr>
      <w:tr w:rsidR="00F80CEA" w:rsidRPr="00F80CEA" w14:paraId="08083017" w14:textId="77777777" w:rsidTr="00101AA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33771B" w14:textId="77777777" w:rsidR="00F80CEA" w:rsidRPr="00F80CEA" w:rsidRDefault="00F80CEA" w:rsidP="00F80CE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6D36C1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b/>
                <w:bCs/>
                <w:sz w:val="18"/>
                <w:szCs w:val="18"/>
                <w:lang w:eastAsia="hr-HR"/>
              </w:rPr>
              <w:t>48.145.402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DA4BD3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b/>
                <w:bCs/>
                <w:sz w:val="18"/>
                <w:szCs w:val="18"/>
                <w:lang w:eastAsia="hr-HR"/>
              </w:rPr>
              <w:t>-1.067.002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9BC2F4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b/>
                <w:bCs/>
                <w:sz w:val="18"/>
                <w:szCs w:val="18"/>
                <w:lang w:eastAsia="hr-HR"/>
              </w:rPr>
              <w:t>47.078.400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92FAA9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b/>
                <w:bCs/>
                <w:sz w:val="18"/>
                <w:szCs w:val="18"/>
                <w:lang w:eastAsia="hr-HR"/>
              </w:rPr>
              <w:t>97,78%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A6EE12" w14:textId="77777777" w:rsidR="00F80CEA" w:rsidRPr="00F80CEA" w:rsidRDefault="00F80CEA" w:rsidP="00F80CEA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F80CEA">
              <w:rPr>
                <w:rFonts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1B4611" w:rsidRPr="001B4611" w14:paraId="001ED071" w14:textId="77777777" w:rsidTr="00101AA5">
        <w:trPr>
          <w:gridAfter w:val="2"/>
          <w:wAfter w:w="1896" w:type="dxa"/>
          <w:trHeight w:val="300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BAD42EC" w14:textId="77777777" w:rsidR="001B4611" w:rsidRPr="001B4611" w:rsidRDefault="001B4611" w:rsidP="001B4611">
            <w:pPr>
              <w:spacing w:after="0" w:line="240" w:lineRule="auto"/>
              <w:jc w:val="center"/>
              <w:rPr>
                <w:rFonts w:cs="Calibri"/>
                <w:b/>
                <w:bCs/>
                <w:lang w:eastAsia="hr-HR"/>
              </w:rPr>
            </w:pPr>
            <w:r w:rsidRPr="001B4611">
              <w:rPr>
                <w:rFonts w:cs="Calibri"/>
                <w:b/>
                <w:bCs/>
                <w:lang w:eastAsia="hr-HR"/>
              </w:rPr>
              <w:t>Naziv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ED067D" w14:textId="77777777" w:rsidR="001B4611" w:rsidRPr="001B4611" w:rsidRDefault="001B4611" w:rsidP="001B4611">
            <w:pPr>
              <w:spacing w:after="0" w:line="240" w:lineRule="auto"/>
              <w:jc w:val="center"/>
              <w:rPr>
                <w:rFonts w:cs="Calibri"/>
                <w:b/>
                <w:bCs/>
                <w:lang w:eastAsia="hr-HR"/>
              </w:rPr>
            </w:pPr>
            <w:r w:rsidRPr="001B4611">
              <w:rPr>
                <w:rFonts w:cs="Calibri"/>
                <w:b/>
                <w:bCs/>
                <w:lang w:eastAsia="hr-HR"/>
              </w:rPr>
              <w:t>4. Kolona</w:t>
            </w:r>
          </w:p>
        </w:tc>
      </w:tr>
      <w:tr w:rsidR="001B4611" w:rsidRPr="001B4611" w14:paraId="11883DED" w14:textId="77777777" w:rsidTr="00101AA5">
        <w:trPr>
          <w:gridAfter w:val="2"/>
          <w:wAfter w:w="1896" w:type="dxa"/>
          <w:trHeight w:val="300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2929" w14:textId="77777777" w:rsidR="001B4611" w:rsidRPr="001B4611" w:rsidRDefault="001B4611" w:rsidP="001B4611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Upravni odjel za financije, javnu nabavu i naplatu prihoda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6E1" w14:textId="77777777" w:rsidR="001B4611" w:rsidRPr="001B4611" w:rsidRDefault="001B4611" w:rsidP="001B4611">
            <w:pPr>
              <w:spacing w:after="0" w:line="240" w:lineRule="auto"/>
              <w:jc w:val="right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17.080.000,00</w:t>
            </w:r>
          </w:p>
        </w:tc>
      </w:tr>
      <w:tr w:rsidR="001B4611" w:rsidRPr="001B4611" w14:paraId="35385B9D" w14:textId="77777777" w:rsidTr="00101AA5">
        <w:trPr>
          <w:gridAfter w:val="2"/>
          <w:wAfter w:w="1896" w:type="dxa"/>
          <w:trHeight w:val="300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6E10" w14:textId="77777777" w:rsidR="001B4611" w:rsidRPr="001B4611" w:rsidRDefault="001B4611" w:rsidP="001B4611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Odsjek  EU fondove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21CD" w14:textId="77777777" w:rsidR="001B4611" w:rsidRPr="001B4611" w:rsidRDefault="001B4611" w:rsidP="001B4611">
            <w:pPr>
              <w:spacing w:after="0" w:line="240" w:lineRule="auto"/>
              <w:jc w:val="right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1.514.000,00</w:t>
            </w:r>
          </w:p>
        </w:tc>
      </w:tr>
      <w:tr w:rsidR="001B4611" w:rsidRPr="001B4611" w14:paraId="0EF0D48E" w14:textId="77777777" w:rsidTr="00101AA5">
        <w:trPr>
          <w:gridAfter w:val="2"/>
          <w:wAfter w:w="1896" w:type="dxa"/>
          <w:trHeight w:val="300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5AF9" w14:textId="77777777" w:rsidR="001B4611" w:rsidRPr="001B4611" w:rsidRDefault="001B4611" w:rsidP="001B4611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RAZVOJNA AGENCIJA GRADA KAŠTELA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D122" w14:textId="77777777" w:rsidR="001B4611" w:rsidRPr="001B4611" w:rsidRDefault="001B4611" w:rsidP="001B4611">
            <w:pPr>
              <w:spacing w:after="0" w:line="240" w:lineRule="auto"/>
              <w:jc w:val="right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639.000,00</w:t>
            </w:r>
          </w:p>
        </w:tc>
      </w:tr>
      <w:tr w:rsidR="001B4611" w:rsidRPr="001B4611" w14:paraId="3C4E62C4" w14:textId="77777777" w:rsidTr="00101AA5">
        <w:trPr>
          <w:gridAfter w:val="2"/>
          <w:wAfter w:w="1896" w:type="dxa"/>
          <w:trHeight w:val="300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FED6" w14:textId="77777777" w:rsidR="001B4611" w:rsidRPr="001B4611" w:rsidRDefault="001B4611" w:rsidP="001B4611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GRADSKA KNJIŽNICA KAŠTELA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3AE0" w14:textId="77777777" w:rsidR="001B4611" w:rsidRPr="001B4611" w:rsidRDefault="001B4611" w:rsidP="001B4611">
            <w:pPr>
              <w:spacing w:after="0" w:line="240" w:lineRule="auto"/>
              <w:jc w:val="right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2.234.900,00</w:t>
            </w:r>
          </w:p>
        </w:tc>
      </w:tr>
      <w:tr w:rsidR="001B4611" w:rsidRPr="001B4611" w14:paraId="11A30E1A" w14:textId="77777777" w:rsidTr="00101AA5">
        <w:trPr>
          <w:gridAfter w:val="2"/>
          <w:wAfter w:w="1896" w:type="dxa"/>
          <w:trHeight w:val="300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C64E" w14:textId="77777777" w:rsidR="001B4611" w:rsidRPr="001B4611" w:rsidRDefault="001B4611" w:rsidP="001B4611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MUZEJ GRADA KAŠTELA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74A8" w14:textId="77777777" w:rsidR="001B4611" w:rsidRPr="001B4611" w:rsidRDefault="001B4611" w:rsidP="001B4611">
            <w:pPr>
              <w:spacing w:after="0" w:line="240" w:lineRule="auto"/>
              <w:jc w:val="right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2.518.500,00</w:t>
            </w:r>
          </w:p>
        </w:tc>
      </w:tr>
      <w:tr w:rsidR="001B4611" w:rsidRPr="001B4611" w14:paraId="7F2FFC17" w14:textId="77777777" w:rsidTr="00101AA5">
        <w:trPr>
          <w:gridAfter w:val="2"/>
          <w:wAfter w:w="1896" w:type="dxa"/>
          <w:trHeight w:val="300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B058" w14:textId="77777777" w:rsidR="001B4611" w:rsidRPr="001B4611" w:rsidRDefault="001B4611" w:rsidP="001B4611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DJEČJI VRTIĆ KAŠTELA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02F4" w14:textId="77777777" w:rsidR="001B4611" w:rsidRPr="001B4611" w:rsidRDefault="001B4611" w:rsidP="001B4611">
            <w:pPr>
              <w:spacing w:after="0" w:line="240" w:lineRule="auto"/>
              <w:jc w:val="right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14.366.000,00</w:t>
            </w:r>
          </w:p>
        </w:tc>
      </w:tr>
      <w:tr w:rsidR="001B4611" w:rsidRPr="001B4611" w14:paraId="52550CA8" w14:textId="77777777" w:rsidTr="00101AA5">
        <w:trPr>
          <w:gridAfter w:val="2"/>
          <w:wAfter w:w="1896" w:type="dxa"/>
          <w:trHeight w:val="300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FA0F" w14:textId="77777777" w:rsidR="001B4611" w:rsidRPr="001B4611" w:rsidRDefault="001B4611" w:rsidP="001B4611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JAVNA USTANOVA ŠPORTSKI OBJEKTI KAŠTELA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0D75" w14:textId="77777777" w:rsidR="001B4611" w:rsidRPr="001B4611" w:rsidRDefault="001B4611" w:rsidP="001B4611">
            <w:pPr>
              <w:spacing w:after="0" w:line="240" w:lineRule="auto"/>
              <w:jc w:val="right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1.296.000,00</w:t>
            </w:r>
          </w:p>
        </w:tc>
      </w:tr>
      <w:tr w:rsidR="001B4611" w:rsidRPr="001B4611" w14:paraId="124E1C94" w14:textId="77777777" w:rsidTr="00101AA5">
        <w:trPr>
          <w:gridAfter w:val="2"/>
          <w:wAfter w:w="1896" w:type="dxa"/>
          <w:trHeight w:val="300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69FE" w14:textId="77777777" w:rsidR="001B4611" w:rsidRPr="001B4611" w:rsidRDefault="001B4611" w:rsidP="001B4611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KOMUNALNI POGON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EA67" w14:textId="77777777" w:rsidR="001B4611" w:rsidRPr="001B4611" w:rsidRDefault="001B4611" w:rsidP="001B4611">
            <w:pPr>
              <w:spacing w:after="0" w:line="240" w:lineRule="auto"/>
              <w:jc w:val="right"/>
              <w:rPr>
                <w:rFonts w:cs="Calibri"/>
                <w:color w:val="000000"/>
                <w:lang w:eastAsia="hr-HR"/>
              </w:rPr>
            </w:pPr>
            <w:r w:rsidRPr="001B4611">
              <w:rPr>
                <w:rFonts w:cs="Calibri"/>
                <w:color w:val="000000"/>
                <w:lang w:eastAsia="hr-HR"/>
              </w:rPr>
              <w:t>7.430.000,00</w:t>
            </w:r>
          </w:p>
        </w:tc>
      </w:tr>
      <w:tr w:rsidR="001B4611" w:rsidRPr="001B4611" w14:paraId="76E851AC" w14:textId="77777777" w:rsidTr="00101AA5">
        <w:trPr>
          <w:gridAfter w:val="2"/>
          <w:wAfter w:w="1896" w:type="dxa"/>
          <w:trHeight w:val="300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9AB2538" w14:textId="77777777" w:rsidR="001B4611" w:rsidRPr="001B4611" w:rsidRDefault="001B4611" w:rsidP="001B4611">
            <w:pPr>
              <w:spacing w:after="0" w:line="240" w:lineRule="auto"/>
              <w:rPr>
                <w:rFonts w:cs="Calibri"/>
                <w:b/>
                <w:bCs/>
                <w:lang w:eastAsia="hr-HR"/>
              </w:rPr>
            </w:pPr>
            <w:r w:rsidRPr="001B4611">
              <w:rPr>
                <w:rFonts w:cs="Calibri"/>
                <w:b/>
                <w:bCs/>
                <w:lang w:eastAsia="hr-HR"/>
              </w:rPr>
              <w:t>SUMA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BFB751" w14:textId="77777777" w:rsidR="001B4611" w:rsidRPr="001B4611" w:rsidRDefault="001B4611" w:rsidP="001B4611">
            <w:pPr>
              <w:spacing w:after="0" w:line="240" w:lineRule="auto"/>
              <w:jc w:val="right"/>
              <w:rPr>
                <w:rFonts w:cs="Calibri"/>
                <w:b/>
                <w:bCs/>
                <w:lang w:eastAsia="hr-HR"/>
              </w:rPr>
            </w:pPr>
            <w:r w:rsidRPr="001B4611">
              <w:rPr>
                <w:rFonts w:cs="Calibri"/>
                <w:b/>
                <w:bCs/>
                <w:lang w:eastAsia="hr-HR"/>
              </w:rPr>
              <w:t>47.078.400,00</w:t>
            </w:r>
          </w:p>
        </w:tc>
      </w:tr>
    </w:tbl>
    <w:p w14:paraId="357E0AE5" w14:textId="3F74C8FC" w:rsidR="001B4611" w:rsidRDefault="001B4611" w:rsidP="005F5D96">
      <w:pPr>
        <w:jc w:val="both"/>
        <w:rPr>
          <w:rFonts w:asciiTheme="minorHAnsi" w:eastAsiaTheme="minorHAnsi" w:hAnsiTheme="minorHAnsi"/>
          <w:sz w:val="20"/>
          <w:szCs w:val="20"/>
        </w:rPr>
      </w:pPr>
    </w:p>
    <w:p w14:paraId="6F33F280" w14:textId="4CF973F8" w:rsidR="001B4611" w:rsidRDefault="001B4611" w:rsidP="005F5D96">
      <w:pPr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noProof/>
        </w:rPr>
        <w:drawing>
          <wp:inline distT="0" distB="0" distL="0" distR="0" wp14:anchorId="18E2DD4B" wp14:editId="219F8DED">
            <wp:extent cx="5857875" cy="3543300"/>
            <wp:effectExtent l="19050" t="19050" r="9525" b="19050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id="{3C10E5AB-A0F1-440B-92BF-F5A0DE94B5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A2459C4" w14:textId="49903955" w:rsidR="005563FB" w:rsidRPr="005F5D96" w:rsidRDefault="005563FB" w:rsidP="005F5D96">
      <w:pPr>
        <w:jc w:val="both"/>
        <w:rPr>
          <w:rFonts w:asciiTheme="minorHAnsi" w:eastAsia="Calibri" w:hAnsiTheme="minorHAnsi" w:cs="Calibri"/>
          <w:sz w:val="18"/>
          <w:szCs w:val="18"/>
        </w:rPr>
      </w:pPr>
      <w:r w:rsidRPr="005563FB">
        <w:rPr>
          <w:rFonts w:asciiTheme="minorHAnsi" w:eastAsiaTheme="minorHAnsi" w:hAnsiTheme="minorHAnsi"/>
          <w:sz w:val="20"/>
          <w:szCs w:val="20"/>
        </w:rPr>
        <w:t>Grafički prikaz udjela rashoda za plaću po organizacijskoj klasifikaciji</w:t>
      </w:r>
    </w:p>
    <w:p w14:paraId="1F947984" w14:textId="458EC630" w:rsidR="005563FB" w:rsidRPr="004F5EB0" w:rsidRDefault="005563FB" w:rsidP="005563FB">
      <w:pPr>
        <w:jc w:val="both"/>
        <w:rPr>
          <w:rFonts w:asciiTheme="minorHAnsi" w:eastAsia="Calibri" w:hAnsiTheme="minorHAnsi" w:cs="Calibri"/>
          <w:color w:val="FF0000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Planirani su u iznosu od  </w:t>
      </w:r>
      <w:r w:rsidR="004F5EB0" w:rsidRPr="004F5EB0">
        <w:rPr>
          <w:rFonts w:asciiTheme="minorHAnsi" w:eastAsia="Calibri" w:hAnsiTheme="minorHAnsi" w:cs="Calibri"/>
          <w:sz w:val="24"/>
          <w:szCs w:val="24"/>
        </w:rPr>
        <w:t>47.078.400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kuna što je za  </w:t>
      </w:r>
      <w:r w:rsidR="004F5EB0">
        <w:rPr>
          <w:rFonts w:asciiTheme="minorHAnsi" w:eastAsia="Calibri" w:hAnsiTheme="minorHAnsi" w:cs="Calibri"/>
          <w:sz w:val="24"/>
          <w:szCs w:val="24"/>
        </w:rPr>
        <w:t>2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4F5EB0">
        <w:rPr>
          <w:rFonts w:asciiTheme="minorHAnsi" w:eastAsia="Calibri" w:hAnsiTheme="minorHAnsi" w:cs="Calibri"/>
          <w:sz w:val="24"/>
          <w:szCs w:val="24"/>
        </w:rPr>
        <w:t>2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2 % </w:t>
      </w:r>
      <w:r w:rsidR="004F5EB0">
        <w:rPr>
          <w:rFonts w:asciiTheme="minorHAnsi" w:eastAsia="Calibri" w:hAnsiTheme="minorHAnsi" w:cs="Calibri"/>
          <w:sz w:val="24"/>
          <w:szCs w:val="24"/>
        </w:rPr>
        <w:t>manje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od plana za  202</w:t>
      </w:r>
      <w:r w:rsidR="004F5EB0">
        <w:rPr>
          <w:rFonts w:asciiTheme="minorHAnsi" w:eastAsia="Calibri" w:hAnsiTheme="minorHAnsi" w:cs="Calibri"/>
          <w:sz w:val="24"/>
          <w:szCs w:val="24"/>
        </w:rPr>
        <w:t>1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. godinu. </w:t>
      </w:r>
      <w:r w:rsidRPr="004F5EB0">
        <w:rPr>
          <w:rFonts w:asciiTheme="minorHAnsi" w:eastAsia="Calibri" w:hAnsiTheme="minorHAnsi" w:cs="Calibri"/>
          <w:color w:val="FF0000"/>
          <w:sz w:val="24"/>
          <w:szCs w:val="24"/>
        </w:rPr>
        <w:t>Od ukupnih rashoda za zaposlene 47,12 % otpada na proračunske korisnike ( na Vrtić 29,83 %). Glavni razlog  planiranog povećanja su novi EU projekti (ve</w:t>
      </w:r>
      <w:r w:rsidR="00101AA5">
        <w:rPr>
          <w:rFonts w:asciiTheme="minorHAnsi" w:eastAsia="Calibri" w:hAnsiTheme="minorHAnsi" w:cs="Calibri"/>
          <w:color w:val="FF0000"/>
          <w:sz w:val="24"/>
          <w:szCs w:val="24"/>
        </w:rPr>
        <w:t>ć</w:t>
      </w:r>
      <w:r w:rsidRPr="004F5EB0">
        <w:rPr>
          <w:rFonts w:asciiTheme="minorHAnsi" w:eastAsia="Calibri" w:hAnsiTheme="minorHAnsi" w:cs="Calibri"/>
          <w:color w:val="FF0000"/>
          <w:sz w:val="24"/>
          <w:szCs w:val="24"/>
        </w:rPr>
        <w:t xml:space="preserve">i su za 245,36% nego 2020.)za čije provođenje su potrebni novi službenici financirani većim dijelom iz EU sredstava. </w:t>
      </w:r>
    </w:p>
    <w:p w14:paraId="1E06711B" w14:textId="77777777" w:rsidR="005563FB" w:rsidRPr="005563FB" w:rsidRDefault="005563FB" w:rsidP="005563FB">
      <w:pPr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Materijalni rashodi – skupina 32</w:t>
      </w:r>
    </w:p>
    <w:p w14:paraId="782DDC77" w14:textId="6AC4808C" w:rsidR="005563FB" w:rsidRP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Planirani su u iznosu od </w:t>
      </w:r>
      <w:r w:rsidR="00E3454B">
        <w:rPr>
          <w:rFonts w:asciiTheme="minorHAnsi" w:eastAsia="Calibri" w:hAnsiTheme="minorHAnsi" w:cs="Calibri"/>
          <w:sz w:val="24"/>
          <w:szCs w:val="24"/>
        </w:rPr>
        <w:t>49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  <w:r w:rsidR="00E3454B">
        <w:rPr>
          <w:rFonts w:asciiTheme="minorHAnsi" w:eastAsia="Calibri" w:hAnsiTheme="minorHAnsi" w:cs="Calibri"/>
          <w:sz w:val="24"/>
          <w:szCs w:val="24"/>
        </w:rPr>
        <w:t>517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  <w:r w:rsidR="00E3454B">
        <w:rPr>
          <w:rFonts w:asciiTheme="minorHAnsi" w:eastAsia="Calibri" w:hAnsiTheme="minorHAnsi" w:cs="Calibri"/>
          <w:sz w:val="24"/>
          <w:szCs w:val="24"/>
        </w:rPr>
        <w:t>900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kuna. Najveći udjel imaju </w:t>
      </w: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 xml:space="preserve">rashodi za usluge-podskupina 323  </w:t>
      </w:r>
      <w:r w:rsidRPr="005563FB">
        <w:rPr>
          <w:rFonts w:asciiTheme="minorHAnsi" w:eastAsia="Calibri" w:hAnsiTheme="minorHAnsi" w:cs="Calibri"/>
          <w:sz w:val="24"/>
          <w:szCs w:val="24"/>
        </w:rPr>
        <w:t>planirani u iznosu od 3</w:t>
      </w:r>
      <w:r w:rsidR="00E3454B">
        <w:rPr>
          <w:rFonts w:asciiTheme="minorHAnsi" w:eastAsia="Calibri" w:hAnsiTheme="minorHAnsi" w:cs="Calibri"/>
          <w:sz w:val="24"/>
          <w:szCs w:val="24"/>
        </w:rPr>
        <w:t>5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  <w:r w:rsidR="00E3454B">
        <w:rPr>
          <w:rFonts w:asciiTheme="minorHAnsi" w:eastAsia="Calibri" w:hAnsiTheme="minorHAnsi" w:cs="Calibri"/>
          <w:sz w:val="24"/>
          <w:szCs w:val="24"/>
        </w:rPr>
        <w:t>434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  <w:r w:rsidR="00E3454B">
        <w:rPr>
          <w:rFonts w:asciiTheme="minorHAnsi" w:eastAsia="Calibri" w:hAnsiTheme="minorHAnsi" w:cs="Calibri"/>
          <w:sz w:val="24"/>
          <w:szCs w:val="24"/>
        </w:rPr>
        <w:t>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00 kuna. Tu se planiraju ulaganja u usluge tekućeg i investicijskog održavanja objekata (najviše za nerazvrstane ceste </w:t>
      </w:r>
      <w:r w:rsidR="00E3454B">
        <w:rPr>
          <w:rFonts w:asciiTheme="minorHAnsi" w:eastAsia="Calibri" w:hAnsiTheme="minorHAnsi" w:cs="Calibri"/>
          <w:sz w:val="24"/>
          <w:szCs w:val="24"/>
        </w:rPr>
        <w:t>10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mil.kn), djelatnosti vlastitog pogona (održavanja javnih površina, groblja, šumskih i poljskih putova, javne rasvjete….</w:t>
      </w:r>
      <w:r w:rsidR="00E3454B">
        <w:rPr>
          <w:rFonts w:asciiTheme="minorHAnsi" w:eastAsia="Calibri" w:hAnsiTheme="minorHAnsi" w:cs="Calibri"/>
          <w:sz w:val="24"/>
          <w:szCs w:val="24"/>
        </w:rPr>
        <w:t>7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E3454B">
        <w:rPr>
          <w:rFonts w:asciiTheme="minorHAnsi" w:eastAsia="Calibri" w:hAnsiTheme="minorHAnsi" w:cs="Calibri"/>
          <w:sz w:val="24"/>
          <w:szCs w:val="24"/>
        </w:rPr>
        <w:t>8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mil.kn), zatim EU projekti </w:t>
      </w:r>
      <w:r w:rsidR="00E3454B">
        <w:rPr>
          <w:rFonts w:asciiTheme="minorHAnsi" w:eastAsia="Calibri" w:hAnsiTheme="minorHAnsi" w:cs="Calibri"/>
          <w:sz w:val="24"/>
          <w:szCs w:val="24"/>
        </w:rPr>
        <w:t>2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mil.kn te drugi rashodi vezani za objekte gradske uprave, komunalnu infrastrukturu i proračunske korisnike, kao što su  odvoz smeća, opskrba vodom, poštarina, službena odjeća i obuća i dr. Tu spadaju i naknade vijećnicima, energija, uredski materijal, </w:t>
      </w:r>
      <w:r w:rsidR="00E3454B">
        <w:rPr>
          <w:rFonts w:asciiTheme="minorHAnsi" w:eastAsia="Calibri" w:hAnsiTheme="minorHAnsi" w:cs="Calibri"/>
          <w:sz w:val="24"/>
          <w:szCs w:val="24"/>
        </w:rPr>
        <w:t xml:space="preserve">sufinanciranje prijevoza đacima, studentima, umirovljenicima; </w:t>
      </w:r>
      <w:r w:rsidRPr="005563FB">
        <w:rPr>
          <w:rFonts w:asciiTheme="minorHAnsi" w:eastAsia="Calibri" w:hAnsiTheme="minorHAnsi" w:cs="Calibri"/>
          <w:sz w:val="24"/>
          <w:szCs w:val="24"/>
        </w:rPr>
        <w:t>namirnice-vrtić,...</w:t>
      </w:r>
    </w:p>
    <w:p w14:paraId="126FC243" w14:textId="62402D0B" w:rsidR="005563FB" w:rsidRPr="005563FB" w:rsidRDefault="005563FB" w:rsidP="005563FB">
      <w:pPr>
        <w:ind w:firstLine="708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Financijski rashodi- skupina  34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planirani su iznosu od  </w:t>
      </w:r>
      <w:r w:rsidR="0091158D">
        <w:rPr>
          <w:rFonts w:asciiTheme="minorHAnsi" w:eastAsia="Calibri" w:hAnsiTheme="minorHAnsi" w:cs="Calibri"/>
          <w:sz w:val="24"/>
          <w:szCs w:val="24"/>
        </w:rPr>
        <w:t>1.075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  <w:r w:rsidR="0091158D">
        <w:rPr>
          <w:rFonts w:asciiTheme="minorHAnsi" w:eastAsia="Calibri" w:hAnsiTheme="minorHAnsi" w:cs="Calibri"/>
          <w:sz w:val="24"/>
          <w:szCs w:val="24"/>
        </w:rPr>
        <w:t>800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kn, a odnose se na troškove sudskih postupaka, zateznih kamata iz poslovnih odnosa  i troškove platnog prometa.</w:t>
      </w:r>
    </w:p>
    <w:p w14:paraId="647C2FB9" w14:textId="4D12BE8E" w:rsidR="005563FB" w:rsidRPr="005563FB" w:rsidRDefault="005563FB" w:rsidP="005563FB">
      <w:pPr>
        <w:ind w:firstLine="708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 xml:space="preserve">Subvencije- skupina   35 i  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planirane su 1</w:t>
      </w:r>
      <w:r w:rsidR="0091158D">
        <w:rPr>
          <w:rFonts w:asciiTheme="minorHAnsi" w:eastAsia="Calibri" w:hAnsiTheme="minorHAnsi" w:cs="Calibri"/>
          <w:sz w:val="24"/>
          <w:szCs w:val="24"/>
        </w:rPr>
        <w:t>2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  <w:r w:rsidR="0091158D">
        <w:rPr>
          <w:rFonts w:asciiTheme="minorHAnsi" w:eastAsia="Calibri" w:hAnsiTheme="minorHAnsi" w:cs="Calibri"/>
          <w:sz w:val="24"/>
          <w:szCs w:val="24"/>
        </w:rPr>
        <w:t>535</w:t>
      </w:r>
      <w:r w:rsidRPr="005563FB">
        <w:rPr>
          <w:rFonts w:asciiTheme="minorHAnsi" w:eastAsia="Calibri" w:hAnsiTheme="minorHAnsi" w:cs="Calibri"/>
          <w:sz w:val="24"/>
          <w:szCs w:val="24"/>
        </w:rPr>
        <w:t>.000,00 kn (</w:t>
      </w:r>
      <w:r w:rsidR="0091158D">
        <w:rPr>
          <w:rFonts w:asciiTheme="minorHAnsi" w:eastAsia="Calibri" w:hAnsiTheme="minorHAnsi" w:cs="Calibri"/>
          <w:sz w:val="24"/>
          <w:szCs w:val="24"/>
        </w:rPr>
        <w:t xml:space="preserve">privatni vrtići-11,935 mil. kn, a ostalo </w:t>
      </w:r>
      <w:r w:rsidRPr="005563FB">
        <w:rPr>
          <w:rFonts w:asciiTheme="minorHAnsi" w:eastAsia="Calibri" w:hAnsiTheme="minorHAnsi" w:cs="Calibri"/>
          <w:sz w:val="24"/>
          <w:szCs w:val="24"/>
        </w:rPr>
        <w:t>poljoprivrednicima,  poduzetnicima, obrtnicima 200.000 kn te  ostalim trgovačkim društvima)</w:t>
      </w:r>
    </w:p>
    <w:p w14:paraId="0B3FAC92" w14:textId="61B9FE11" w:rsidR="005563FB" w:rsidRPr="005563FB" w:rsidRDefault="005563FB" w:rsidP="005563FB">
      <w:pPr>
        <w:ind w:firstLine="708"/>
        <w:rPr>
          <w:rFonts w:asciiTheme="minorHAnsi" w:eastAsia="Calibri" w:hAnsiTheme="minorHAnsi" w:cs="Calibri"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 xml:space="preserve">Potpore- skupina 36 </w:t>
      </w:r>
      <w:r w:rsidRPr="005563FB">
        <w:rPr>
          <w:rFonts w:asciiTheme="minorHAnsi" w:eastAsia="Calibri" w:hAnsiTheme="minorHAnsi" w:cs="Calibri"/>
          <w:bCs/>
          <w:sz w:val="24"/>
          <w:szCs w:val="24"/>
        </w:rPr>
        <w:t xml:space="preserve">planirane su u iznosu od </w:t>
      </w:r>
      <w:r w:rsidR="0091158D">
        <w:rPr>
          <w:rFonts w:asciiTheme="minorHAnsi" w:eastAsia="Calibri" w:hAnsiTheme="minorHAnsi" w:cs="Calibri"/>
          <w:bCs/>
          <w:sz w:val="24"/>
          <w:szCs w:val="24"/>
        </w:rPr>
        <w:t>1</w:t>
      </w:r>
      <w:r w:rsidRPr="005563FB">
        <w:rPr>
          <w:rFonts w:asciiTheme="minorHAnsi" w:eastAsia="Calibri" w:hAnsiTheme="minorHAnsi" w:cs="Calibri"/>
          <w:bCs/>
          <w:sz w:val="24"/>
          <w:szCs w:val="24"/>
        </w:rPr>
        <w:t>.</w:t>
      </w:r>
      <w:r w:rsidR="0091158D">
        <w:rPr>
          <w:rFonts w:asciiTheme="minorHAnsi" w:eastAsia="Calibri" w:hAnsiTheme="minorHAnsi" w:cs="Calibri"/>
          <w:bCs/>
          <w:sz w:val="24"/>
          <w:szCs w:val="24"/>
        </w:rPr>
        <w:t>390</w:t>
      </w:r>
      <w:r w:rsidRPr="005563FB">
        <w:rPr>
          <w:rFonts w:asciiTheme="minorHAnsi" w:eastAsia="Calibri" w:hAnsiTheme="minorHAnsi" w:cs="Calibri"/>
          <w:bCs/>
          <w:sz w:val="24"/>
          <w:szCs w:val="24"/>
        </w:rPr>
        <w:t>.000 kn a uglavnom su vezane za kapitalne pomoći proračunskim korisnicima drugih proračuna (izgradnja luke u K.Starom).</w:t>
      </w:r>
    </w:p>
    <w:p w14:paraId="24CC00C8" w14:textId="77777777" w:rsidR="005563FB" w:rsidRPr="005563FB" w:rsidRDefault="005563FB" w:rsidP="005563FB">
      <w:pPr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Naknade građanima i kućanstvima na temelju osiguranja i dr. naknade – skupina 37</w:t>
      </w:r>
    </w:p>
    <w:p w14:paraId="4146C4C9" w14:textId="1C172D86" w:rsid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Planirane su u iznosu od </w:t>
      </w:r>
      <w:r w:rsidR="0018577B">
        <w:rPr>
          <w:rFonts w:asciiTheme="minorHAnsi" w:eastAsia="Calibri" w:hAnsiTheme="minorHAnsi" w:cs="Calibri"/>
          <w:sz w:val="24"/>
          <w:szCs w:val="24"/>
        </w:rPr>
        <w:t>8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  <w:r w:rsidR="0018577B">
        <w:rPr>
          <w:rFonts w:asciiTheme="minorHAnsi" w:eastAsia="Calibri" w:hAnsiTheme="minorHAnsi" w:cs="Calibri"/>
          <w:sz w:val="24"/>
          <w:szCs w:val="24"/>
        </w:rPr>
        <w:t>139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.000 kn što je za </w:t>
      </w:r>
      <w:r w:rsidR="0018577B">
        <w:rPr>
          <w:rFonts w:asciiTheme="minorHAnsi" w:eastAsia="Calibri" w:hAnsiTheme="minorHAnsi" w:cs="Calibri"/>
          <w:sz w:val="24"/>
          <w:szCs w:val="24"/>
        </w:rPr>
        <w:t>1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18577B">
        <w:rPr>
          <w:rFonts w:asciiTheme="minorHAnsi" w:eastAsia="Calibri" w:hAnsiTheme="minorHAnsi" w:cs="Calibri"/>
          <w:sz w:val="24"/>
          <w:szCs w:val="24"/>
        </w:rPr>
        <w:t>6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% više nego</w:t>
      </w:r>
      <w:r w:rsidR="0018577B">
        <w:rPr>
          <w:rFonts w:asciiTheme="minorHAnsi" w:eastAsia="Calibri" w:hAnsiTheme="minorHAnsi" w:cs="Calibri"/>
          <w:sz w:val="24"/>
          <w:szCs w:val="24"/>
        </w:rPr>
        <w:t xml:space="preserve"> pla</w:t>
      </w:r>
      <w:r w:rsidR="00544317">
        <w:rPr>
          <w:rFonts w:asciiTheme="minorHAnsi" w:eastAsia="Calibri" w:hAnsiTheme="minorHAnsi" w:cs="Calibri"/>
          <w:sz w:val="24"/>
          <w:szCs w:val="24"/>
        </w:rPr>
        <w:t>n</w:t>
      </w:r>
      <w:r w:rsidR="0018577B">
        <w:rPr>
          <w:rFonts w:asciiTheme="minorHAnsi" w:eastAsia="Calibri" w:hAnsiTheme="minorHAnsi" w:cs="Calibri"/>
          <w:sz w:val="24"/>
          <w:szCs w:val="24"/>
        </w:rPr>
        <w:t xml:space="preserve"> 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202</w:t>
      </w:r>
      <w:r w:rsidR="0018577B">
        <w:rPr>
          <w:rFonts w:asciiTheme="minorHAnsi" w:eastAsia="Calibri" w:hAnsiTheme="minorHAnsi" w:cs="Calibri"/>
          <w:sz w:val="24"/>
          <w:szCs w:val="24"/>
        </w:rPr>
        <w:t>1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. godine, a odnose se uglavnom na naknade unutar socijalnog programa Grada. Iz ovih sredstava daju se  jednokratne financijske pomoći, naknade za rođenje djeteta, sufinanciranje rodiljne naknade, božićnice za umirovljenike i nezaposlene, subvencije za produženi boravak djece u školi, pomoć za stanovanje, pomoć u pučkoj kuhinji, pomoći za kupnju udžbenika i slično (ukupno pomoć obiteljima i kućanstvima </w:t>
      </w:r>
      <w:r w:rsidR="0018577B">
        <w:rPr>
          <w:rFonts w:asciiTheme="minorHAnsi" w:eastAsia="Calibri" w:hAnsiTheme="minorHAnsi" w:cs="Calibri"/>
          <w:sz w:val="24"/>
          <w:szCs w:val="24"/>
        </w:rPr>
        <w:t>6</w:t>
      </w:r>
      <w:r w:rsidRPr="005563FB">
        <w:rPr>
          <w:rFonts w:asciiTheme="minorHAnsi" w:eastAsia="Calibri" w:hAnsiTheme="minorHAnsi" w:cs="Calibri"/>
          <w:sz w:val="24"/>
          <w:szCs w:val="24"/>
        </w:rPr>
        <w:t>,0</w:t>
      </w:r>
      <w:r w:rsidR="0018577B">
        <w:rPr>
          <w:rFonts w:asciiTheme="minorHAnsi" w:eastAsia="Calibri" w:hAnsiTheme="minorHAnsi" w:cs="Calibri"/>
          <w:sz w:val="24"/>
          <w:szCs w:val="24"/>
        </w:rPr>
        <w:t>29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mil.kuna), stipendije učenicima i studentima iznose 1.200.000,00 kn,.  Pomoći za kupnju r</w:t>
      </w:r>
      <w:r w:rsidR="0018577B">
        <w:rPr>
          <w:rFonts w:asciiTheme="minorHAnsi" w:eastAsia="Calibri" w:hAnsiTheme="minorHAnsi" w:cs="Calibri"/>
          <w:sz w:val="24"/>
          <w:szCs w:val="24"/>
        </w:rPr>
        <w:t>a</w:t>
      </w:r>
      <w:r w:rsidRPr="005563FB">
        <w:rPr>
          <w:rFonts w:asciiTheme="minorHAnsi" w:eastAsia="Calibri" w:hAnsiTheme="minorHAnsi" w:cs="Calibri"/>
          <w:sz w:val="24"/>
          <w:szCs w:val="24"/>
        </w:rPr>
        <w:t>dnih bilježnica te iznose 1,6 mil.kn.</w:t>
      </w:r>
    </w:p>
    <w:p w14:paraId="7D9B0744" w14:textId="3F72A86D" w:rsidR="004B3611" w:rsidRDefault="004B3611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</w:p>
    <w:tbl>
      <w:tblPr>
        <w:tblW w:w="9291" w:type="dxa"/>
        <w:tblLook w:val="04A0" w:firstRow="1" w:lastRow="0" w:firstColumn="1" w:lastColumn="0" w:noHBand="0" w:noVBand="1"/>
      </w:tblPr>
      <w:tblGrid>
        <w:gridCol w:w="7083"/>
        <w:gridCol w:w="1287"/>
        <w:gridCol w:w="921"/>
      </w:tblGrid>
      <w:tr w:rsidR="004B3611" w:rsidRPr="004B3611" w14:paraId="3C3D3D3D" w14:textId="77777777" w:rsidTr="00ED29A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140BAE" w14:textId="77777777" w:rsidR="004B3611" w:rsidRPr="004B3611" w:rsidRDefault="004B3611" w:rsidP="004B3611">
            <w:pPr>
              <w:spacing w:after="0" w:line="240" w:lineRule="auto"/>
              <w:jc w:val="center"/>
              <w:rPr>
                <w:rFonts w:cs="Calibri"/>
                <w:b/>
                <w:bCs/>
                <w:lang w:eastAsia="hr-HR"/>
              </w:rPr>
            </w:pPr>
            <w:r w:rsidRPr="004B3611">
              <w:rPr>
                <w:rFonts w:cs="Calibri"/>
                <w:b/>
                <w:bCs/>
                <w:lang w:eastAsia="hr-HR"/>
              </w:rPr>
              <w:t>Naziv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10EE01" w14:textId="77777777" w:rsidR="004B3611" w:rsidRPr="004B3611" w:rsidRDefault="004B3611" w:rsidP="004B3611">
            <w:pPr>
              <w:spacing w:after="0" w:line="240" w:lineRule="auto"/>
              <w:jc w:val="center"/>
              <w:rPr>
                <w:rFonts w:cs="Calibri"/>
                <w:b/>
                <w:bCs/>
                <w:lang w:eastAsia="hr-HR"/>
              </w:rPr>
            </w:pPr>
            <w:r w:rsidRPr="004B3611">
              <w:rPr>
                <w:rFonts w:cs="Calibri"/>
                <w:b/>
                <w:bCs/>
                <w:lang w:eastAsia="hr-HR"/>
              </w:rPr>
              <w:t>Plan 2022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873D09" w14:textId="77777777" w:rsidR="004B3611" w:rsidRPr="004B3611" w:rsidRDefault="004B3611" w:rsidP="004B3611">
            <w:pPr>
              <w:spacing w:after="0" w:line="240" w:lineRule="auto"/>
              <w:jc w:val="center"/>
              <w:rPr>
                <w:rFonts w:cs="Calibri"/>
                <w:b/>
                <w:bCs/>
                <w:lang w:eastAsia="hr-HR"/>
              </w:rPr>
            </w:pPr>
            <w:r w:rsidRPr="004B3611">
              <w:rPr>
                <w:rFonts w:cs="Calibri"/>
                <w:b/>
                <w:bCs/>
                <w:lang w:eastAsia="hr-HR"/>
              </w:rPr>
              <w:t>Udjel</w:t>
            </w:r>
          </w:p>
        </w:tc>
      </w:tr>
      <w:tr w:rsidR="004B3611" w:rsidRPr="004B3611" w14:paraId="3815792B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30A1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37212; Jednokratna financijska pomoć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4517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4A76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3,69%</w:t>
            </w:r>
          </w:p>
        </w:tc>
      </w:tr>
      <w:tr w:rsidR="004B3611" w:rsidRPr="004B3611" w14:paraId="30219DC2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3A78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37212; Financijska potpora za rođenje djeteta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CAE2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3046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7,99%</w:t>
            </w:r>
          </w:p>
        </w:tc>
      </w:tr>
      <w:tr w:rsidR="004B3611" w:rsidRPr="004B3611" w14:paraId="2E22AEC2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FB63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37212; Pomoć za stanovanje-financiranje potroška el. energije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CB9F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779F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3,19%</w:t>
            </w:r>
          </w:p>
        </w:tc>
      </w:tr>
      <w:tr w:rsidR="004B3611" w:rsidRPr="004B3611" w14:paraId="48D92FBD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1176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37212; Jednokratna fin. pomoć za kupnju udžbenika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97B2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763A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19,66%</w:t>
            </w:r>
          </w:p>
        </w:tc>
      </w:tr>
      <w:tr w:rsidR="004B3611" w:rsidRPr="004B3611" w14:paraId="235C16A6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46FE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37212; Pomoć prehrane u pučkoj kuhinji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61B4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11A8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3,69%</w:t>
            </w:r>
          </w:p>
        </w:tc>
      </w:tr>
      <w:tr w:rsidR="004B3611" w:rsidRPr="004B3611" w14:paraId="51D146D9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B61F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37212; Privremeni smještaj beskućnika u prihvatilište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989B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47E1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3,19%</w:t>
            </w:r>
          </w:p>
        </w:tc>
      </w:tr>
      <w:tr w:rsidR="004B3611" w:rsidRPr="004B3611" w14:paraId="62CC7684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D0F1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37212; Božićnice umirovljenicima i nezaposlenima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8CC9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CFB1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14,74%</w:t>
            </w:r>
          </w:p>
        </w:tc>
      </w:tr>
      <w:tr w:rsidR="004B3611" w:rsidRPr="004B3611" w14:paraId="731FD567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8F27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37212; Pomoć obiteljima i kućanstvima po zaključku Gradonačelnika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B15E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5A10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3,69%</w:t>
            </w:r>
          </w:p>
        </w:tc>
      </w:tr>
      <w:tr w:rsidR="004B3611" w:rsidRPr="004B3611" w14:paraId="536C08D1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B619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37212; Dnevni boravak- Dj. dom Miljenko i Dobrila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A349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2F4A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0,93%</w:t>
            </w:r>
          </w:p>
        </w:tc>
      </w:tr>
      <w:tr w:rsidR="004B3611" w:rsidRPr="004B3611" w14:paraId="1F5EDCB3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1915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37212; Oslobođeno plaćanje učešća- Dj. vrtić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2EB1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2413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3,69%</w:t>
            </w:r>
          </w:p>
        </w:tc>
      </w:tr>
      <w:tr w:rsidR="004B3611" w:rsidRPr="004B3611" w14:paraId="7B8180ED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72CE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37212; Pomoć starima i nemoćnima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1005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58B8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3,19%</w:t>
            </w:r>
          </w:p>
        </w:tc>
      </w:tr>
      <w:tr w:rsidR="004B3611" w:rsidRPr="004B3611" w14:paraId="0AFD7E93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0E7E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37212; Pomoć za stanovanje- financiranje najma, potroška vode i ostalih troškova (opći ph)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BE22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E754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0,90%</w:t>
            </w:r>
          </w:p>
        </w:tc>
      </w:tr>
      <w:tr w:rsidR="004B3611" w:rsidRPr="004B3611" w14:paraId="5518E86B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86F3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37212; Subvencija za produženi boravak djece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DEEF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BAE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0,37%</w:t>
            </w:r>
          </w:p>
        </w:tc>
      </w:tr>
      <w:tr w:rsidR="004B3611" w:rsidRPr="004B3611" w14:paraId="1EA6E5A3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3247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37219; Ostale naknade iz proračuna u novcu- sufinanciranje rodiljne naknade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ACBB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3ABA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11,06%</w:t>
            </w:r>
          </w:p>
        </w:tc>
      </w:tr>
      <w:tr w:rsidR="004B3611" w:rsidRPr="004B3611" w14:paraId="4F2A61C5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5FA2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37219; Ostale naknade iz proračuna u novcu- sufinanciranje putnih troškova za Erasmus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6CEC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4D83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0,12%</w:t>
            </w:r>
          </w:p>
        </w:tc>
      </w:tr>
      <w:tr w:rsidR="004B3611" w:rsidRPr="004B3611" w14:paraId="7924239F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B1D6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37212; Pomoć obiteljima i kućanstvima za ogrjev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2E78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6F42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2,70%</w:t>
            </w:r>
          </w:p>
        </w:tc>
      </w:tr>
      <w:tr w:rsidR="004B3611" w:rsidRPr="004B3611" w14:paraId="18BF341D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7349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37212; Pomoć za stanovanje- financiranje najma, potroška vode i ostalih troškova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A058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2E4E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2,46%</w:t>
            </w:r>
          </w:p>
        </w:tc>
      </w:tr>
      <w:tr w:rsidR="004B3611" w:rsidRPr="004B3611" w14:paraId="70425C06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4D6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37215; Stipendije i školarine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0CF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33D6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color w:val="000000"/>
                <w:sz w:val="20"/>
                <w:szCs w:val="20"/>
                <w:lang w:eastAsia="hr-HR"/>
              </w:rPr>
              <w:t>14,74%</w:t>
            </w:r>
          </w:p>
        </w:tc>
      </w:tr>
      <w:tr w:rsidR="004B3611" w:rsidRPr="004B3611" w14:paraId="3AF6FD2A" w14:textId="77777777" w:rsidTr="00ED29AD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D156BA" w14:textId="77777777" w:rsidR="004B3611" w:rsidRPr="004B3611" w:rsidRDefault="004B3611" w:rsidP="004B361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F903D9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b/>
                <w:bCs/>
                <w:sz w:val="20"/>
                <w:szCs w:val="20"/>
                <w:lang w:eastAsia="hr-HR"/>
              </w:rPr>
              <w:t>8.139.000,00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157358" w14:textId="77777777" w:rsidR="004B3611" w:rsidRPr="004B3611" w:rsidRDefault="004B3611" w:rsidP="004B3611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  <w:lang w:eastAsia="hr-HR"/>
              </w:rPr>
            </w:pPr>
            <w:r w:rsidRPr="004B3611">
              <w:rPr>
                <w:rFonts w:cs="Calibr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</w:tbl>
    <w:p w14:paraId="149B4B20" w14:textId="77777777" w:rsidR="005563FB" w:rsidRPr="005563FB" w:rsidRDefault="005563FB" w:rsidP="005563FB">
      <w:pPr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Ostali rashodi – skupina 38</w:t>
      </w:r>
    </w:p>
    <w:p w14:paraId="249DC226" w14:textId="392F45DF" w:rsidR="005563FB" w:rsidRDefault="005563F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Ostali rashodi planiraju se </w:t>
      </w:r>
      <w:r w:rsidR="004B3611">
        <w:rPr>
          <w:rFonts w:asciiTheme="minorHAnsi" w:eastAsia="Calibri" w:hAnsiTheme="minorHAnsi" w:cs="Calibri"/>
          <w:sz w:val="24"/>
          <w:szCs w:val="24"/>
        </w:rPr>
        <w:t>u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iznos</w:t>
      </w:r>
      <w:r w:rsidR="004B3611">
        <w:rPr>
          <w:rFonts w:asciiTheme="minorHAnsi" w:eastAsia="Calibri" w:hAnsiTheme="minorHAnsi" w:cs="Calibri"/>
          <w:sz w:val="24"/>
          <w:szCs w:val="24"/>
        </w:rPr>
        <w:t>u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4B3611">
        <w:rPr>
          <w:rFonts w:asciiTheme="minorHAnsi" w:eastAsia="Calibri" w:hAnsiTheme="minorHAnsi" w:cs="Calibri"/>
          <w:sz w:val="24"/>
          <w:szCs w:val="24"/>
        </w:rPr>
        <w:t>27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  <w:r w:rsidR="004B3611">
        <w:rPr>
          <w:rFonts w:asciiTheme="minorHAnsi" w:eastAsia="Calibri" w:hAnsiTheme="minorHAnsi" w:cs="Calibri"/>
          <w:sz w:val="24"/>
          <w:szCs w:val="24"/>
        </w:rPr>
        <w:t>650</w:t>
      </w:r>
      <w:r w:rsidRPr="005563FB">
        <w:rPr>
          <w:rFonts w:asciiTheme="minorHAnsi" w:eastAsia="Calibri" w:hAnsiTheme="minorHAnsi" w:cs="Calibri"/>
          <w:sz w:val="24"/>
          <w:szCs w:val="24"/>
        </w:rPr>
        <w:t>.000 kuna,</w:t>
      </w:r>
      <w:r w:rsidR="00603415">
        <w:rPr>
          <w:rFonts w:asciiTheme="minorHAnsi" w:eastAsia="Calibri" w:hAnsiTheme="minorHAnsi" w:cs="Calibri"/>
          <w:sz w:val="24"/>
          <w:szCs w:val="24"/>
        </w:rPr>
        <w:t xml:space="preserve"> </w:t>
      </w:r>
      <w:r w:rsidRPr="005563FB">
        <w:rPr>
          <w:rFonts w:asciiTheme="minorHAnsi" w:eastAsia="Calibri" w:hAnsiTheme="minorHAnsi" w:cs="Calibri"/>
          <w:sz w:val="24"/>
          <w:szCs w:val="24"/>
        </w:rPr>
        <w:t>a odnose se  uglavnom na kapitalne pomoći (ViK</w:t>
      </w:r>
      <w:r w:rsidR="004B3611">
        <w:rPr>
          <w:rFonts w:asciiTheme="minorHAnsi" w:eastAsia="Calibri" w:hAnsiTheme="minorHAnsi" w:cs="Calibri"/>
          <w:sz w:val="24"/>
          <w:szCs w:val="24"/>
        </w:rPr>
        <w:t xml:space="preserve"> -5,3 mil.kn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) i donacije tj. sredstva koja se prenose krajnjim korisnicima (financiranje sporta </w:t>
      </w:r>
      <w:r w:rsidR="004B3611">
        <w:rPr>
          <w:rFonts w:asciiTheme="minorHAnsi" w:eastAsia="Calibri" w:hAnsiTheme="minorHAnsi" w:cs="Calibri"/>
          <w:sz w:val="24"/>
          <w:szCs w:val="24"/>
        </w:rPr>
        <w:t>5,9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mil.kn, DVD-i 4,</w:t>
      </w:r>
      <w:r w:rsidR="004B3611">
        <w:rPr>
          <w:rFonts w:asciiTheme="minorHAnsi" w:eastAsia="Calibri" w:hAnsiTheme="minorHAnsi" w:cs="Calibri"/>
          <w:sz w:val="24"/>
          <w:szCs w:val="24"/>
        </w:rPr>
        <w:t>42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mil.kn, dječji vrtići </w:t>
      </w:r>
      <w:r w:rsidR="004B3611">
        <w:rPr>
          <w:rFonts w:asciiTheme="minorHAnsi" w:eastAsia="Calibri" w:hAnsiTheme="minorHAnsi" w:cs="Calibri"/>
          <w:sz w:val="24"/>
          <w:szCs w:val="24"/>
        </w:rPr>
        <w:t>2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4B3611">
        <w:rPr>
          <w:rFonts w:asciiTheme="minorHAnsi" w:eastAsia="Calibri" w:hAnsiTheme="minorHAnsi" w:cs="Calibri"/>
          <w:sz w:val="24"/>
          <w:szCs w:val="24"/>
        </w:rPr>
        <w:t>1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mil.kn, Crveni križ 1,1 mil.kn, Zeleno i modro d.o.o. </w:t>
      </w:r>
      <w:r w:rsidR="004B3611">
        <w:rPr>
          <w:rFonts w:asciiTheme="minorHAnsi" w:eastAsia="Calibri" w:hAnsiTheme="minorHAnsi" w:cs="Calibri"/>
          <w:sz w:val="24"/>
          <w:szCs w:val="24"/>
        </w:rPr>
        <w:t>1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mil.kn, </w:t>
      </w:r>
      <w:r w:rsidR="004B3611">
        <w:rPr>
          <w:rFonts w:asciiTheme="minorHAnsi" w:eastAsia="Calibri" w:hAnsiTheme="minorHAnsi" w:cs="Calibri"/>
          <w:sz w:val="24"/>
          <w:szCs w:val="24"/>
        </w:rPr>
        <w:t xml:space="preserve">promicanje kulture 1,865 mil.kn; 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ostale neprofitne udruge: Udruge proizišle iz Domovinskog rada  itd...). </w:t>
      </w:r>
    </w:p>
    <w:tbl>
      <w:tblPr>
        <w:tblW w:w="9537" w:type="dxa"/>
        <w:tblLook w:val="04A0" w:firstRow="1" w:lastRow="0" w:firstColumn="1" w:lastColumn="0" w:noHBand="0" w:noVBand="1"/>
      </w:tblPr>
      <w:tblGrid>
        <w:gridCol w:w="704"/>
        <w:gridCol w:w="3827"/>
        <w:gridCol w:w="1042"/>
        <w:gridCol w:w="1226"/>
        <w:gridCol w:w="1042"/>
        <w:gridCol w:w="846"/>
        <w:gridCol w:w="850"/>
      </w:tblGrid>
      <w:tr w:rsidR="00C35FBB" w:rsidRPr="00C35FBB" w14:paraId="42A9DB47" w14:textId="77777777" w:rsidTr="00ED29A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87D857" w14:textId="77777777" w:rsidR="00C35FBB" w:rsidRPr="00C35FBB" w:rsidRDefault="00C35FBB" w:rsidP="00C35FB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837BBE" w14:textId="77777777" w:rsidR="00C35FBB" w:rsidRPr="00C35FBB" w:rsidRDefault="00C35FBB" w:rsidP="00C35FB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2EDE80" w14:textId="77777777" w:rsidR="00C35FBB" w:rsidRPr="00C35FBB" w:rsidRDefault="00C35FBB" w:rsidP="00C35FB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1A8A00" w14:textId="77777777" w:rsidR="00C35FBB" w:rsidRPr="00C35FBB" w:rsidRDefault="00C35FBB" w:rsidP="00C35FB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sz w:val="18"/>
                <w:szCs w:val="18"/>
                <w:lang w:eastAsia="hr-HR"/>
              </w:rPr>
              <w:t>Razlika 2022-2021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2D06FF" w14:textId="77777777" w:rsidR="00C35FBB" w:rsidRPr="00C35FBB" w:rsidRDefault="00C35FBB" w:rsidP="00C35FB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1722980" w14:textId="77777777" w:rsidR="00C35FBB" w:rsidRPr="00C35FBB" w:rsidRDefault="00C35FBB" w:rsidP="00C35FB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AEC434" w14:textId="77777777" w:rsidR="00C35FBB" w:rsidRPr="00C35FBB" w:rsidRDefault="00C35FBB" w:rsidP="00C35FB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sz w:val="18"/>
                <w:szCs w:val="18"/>
                <w:lang w:eastAsia="hr-HR"/>
              </w:rPr>
              <w:t>Udjel 2022.</w:t>
            </w:r>
          </w:p>
        </w:tc>
      </w:tr>
      <w:tr w:rsidR="00ED29AD" w:rsidRPr="00C35FBB" w14:paraId="64135F27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0B36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D6FC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3626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  <w:t>40.260.850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16E9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  <w:t>-12.610.850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D0F2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  <w:t>27.650.000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A7C3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  <w:t>68,68%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A123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ED29AD" w:rsidRPr="00C35FBB" w14:paraId="0AB7A03F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5826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82BE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A42B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27.445.000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C3E3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-9.945.000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B321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17.500.000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E6C3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63,76%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7E49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63,29%</w:t>
            </w:r>
          </w:p>
        </w:tc>
      </w:tr>
      <w:tr w:rsidR="00ED29AD" w:rsidRPr="00C35FBB" w14:paraId="1180CBA1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4FAD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81EE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5861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27.445.000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880A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-9.945.000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926C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17.500.000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E1D9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63,76%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068A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63,29%</w:t>
            </w:r>
          </w:p>
        </w:tc>
      </w:tr>
      <w:tr w:rsidR="00ED29AD" w:rsidRPr="00C35FBB" w14:paraId="74F7B997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9DC2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CCC8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Tekuće donacije zdravstvenim neprofitnim organizacijama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DC11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2F9F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D07C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0A33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289C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0,18%</w:t>
            </w:r>
          </w:p>
        </w:tc>
      </w:tr>
      <w:tr w:rsidR="00ED29AD" w:rsidRPr="00C35FBB" w14:paraId="24AA695C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DCA6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3D2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Tekuće donacije vjerskim zajednicama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F7E7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1.800.000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1DA2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899E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2.100.000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7454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116,67%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782E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7,59%</w:t>
            </w:r>
          </w:p>
        </w:tc>
      </w:tr>
      <w:tr w:rsidR="00ED29AD" w:rsidRPr="00C35FBB" w14:paraId="434C7A5B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B06F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38114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6D23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Tekuće donacije udrugama građana i političkim strankama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B73F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2.145.000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DC6D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-335.000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3B0F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1.810.000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72C9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84,38%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55AB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6,55%</w:t>
            </w:r>
          </w:p>
        </w:tc>
      </w:tr>
      <w:tr w:rsidR="00ED29AD" w:rsidRPr="00C35FBB" w14:paraId="7761A66C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CAD9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38115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E636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Tekuće donacije sportskim društvima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775D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6.200.000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0B25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-800.000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548D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5.400.000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4AFE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87,10%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945E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19,53%</w:t>
            </w:r>
          </w:p>
        </w:tc>
      </w:tr>
      <w:tr w:rsidR="00ED29AD" w:rsidRPr="00C35FBB" w14:paraId="38BFAF6F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79FD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38117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C961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Tekuće donacije građanima i kućanstvima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92C9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95.000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0F4C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AE1F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130.000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E175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136,84%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2BA2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0,47%</w:t>
            </w:r>
          </w:p>
        </w:tc>
      </w:tr>
      <w:tr w:rsidR="00ED29AD" w:rsidRPr="00C35FBB" w14:paraId="5BCAB7FB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F70A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F992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Ostale tekuće donacije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460F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17.155.000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7634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-9.145.000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910B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8.010.000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18E8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46,69%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41D1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28,97%</w:t>
            </w:r>
          </w:p>
        </w:tc>
      </w:tr>
      <w:tr w:rsidR="00ED29AD" w:rsidRPr="00C35FBB" w14:paraId="78D354F9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F5D9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3B42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1A02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4.160.000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A00F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-1.550.000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376B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2.610.000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C0CA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62,74%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D2B6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9,44%</w:t>
            </w:r>
          </w:p>
        </w:tc>
      </w:tr>
      <w:tr w:rsidR="00ED29AD" w:rsidRPr="00C35FBB" w14:paraId="12A676C0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D1E3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CE01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BC5B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4.160.000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A72F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-1.550.000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826E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2.610.000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6CF5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62,74%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D947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9,44%</w:t>
            </w:r>
          </w:p>
        </w:tc>
      </w:tr>
      <w:tr w:rsidR="00ED29AD" w:rsidRPr="00C35FBB" w14:paraId="07406431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6444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38212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473E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Kapitalne donacije vjerskim zajednicama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D463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1.050.000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C304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-550.000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3D67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872A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47,62%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1B92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1,81%</w:t>
            </w:r>
          </w:p>
        </w:tc>
      </w:tr>
      <w:tr w:rsidR="00ED29AD" w:rsidRPr="00C35FBB" w14:paraId="41A8CE9F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6F76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38214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DC88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Kapitalne donacije udrugama građana i političkim strankama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1F01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BC9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605E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C186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278A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0,02%</w:t>
            </w:r>
          </w:p>
        </w:tc>
      </w:tr>
      <w:tr w:rsidR="00ED29AD" w:rsidRPr="00C35FBB" w14:paraId="0D9DA680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7C69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38215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8908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Kapitalne donacije športskim društvima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DD48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350.000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0A24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-300.000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F200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CB8E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14,29%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F375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0,18%</w:t>
            </w:r>
          </w:p>
        </w:tc>
      </w:tr>
      <w:tr w:rsidR="00ED29AD" w:rsidRPr="00C35FBB" w14:paraId="3DE14BD7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2B8D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38219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C320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Kapitalne donacije ostalim neprofitnim organizacijama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62AF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2.755.000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DF64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-700.000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D711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2.055.000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9BE9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74,59%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39B3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7,43%</w:t>
            </w:r>
          </w:p>
        </w:tc>
      </w:tr>
      <w:tr w:rsidR="00ED29AD" w:rsidRPr="00C35FBB" w14:paraId="70DAB87A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959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AE54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Kazne, penali i naknade štete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7952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190.000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3075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C108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190.000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4984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1F39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0,69%</w:t>
            </w:r>
          </w:p>
        </w:tc>
      </w:tr>
      <w:tr w:rsidR="00ED29AD" w:rsidRPr="00C35FBB" w14:paraId="196F8AC4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1A4F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F115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Naknade šteta pravnim i fizičkim osobama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AF28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190.000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8D89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B249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190.000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7B8C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B2AF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0,69%</w:t>
            </w:r>
          </w:p>
        </w:tc>
      </w:tr>
      <w:tr w:rsidR="00ED29AD" w:rsidRPr="00C35FBB" w14:paraId="1932DA79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349A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38319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F760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Ostale naknade šteta pravnim i fizičkim osobama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24D3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190.000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6B60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089B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190.000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0E22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F071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0,69%</w:t>
            </w:r>
          </w:p>
        </w:tc>
      </w:tr>
      <w:tr w:rsidR="00ED29AD" w:rsidRPr="00C35FBB" w14:paraId="3D8D6825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0901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5C49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05BB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8.465.850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AD08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-1.115.850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CB12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7.350.000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5019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86,82%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B1C3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i/>
                <w:iCs/>
                <w:color w:val="000000"/>
                <w:sz w:val="18"/>
                <w:szCs w:val="18"/>
                <w:lang w:eastAsia="hr-HR"/>
              </w:rPr>
              <w:t>26,58%</w:t>
            </w:r>
          </w:p>
        </w:tc>
      </w:tr>
      <w:tr w:rsidR="00ED29AD" w:rsidRPr="00C35FBB" w14:paraId="1DE7DD65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3944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E022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Kapitalne pomoći kreditnim i ostalim financijskim institucijama i trgovačkim društvima u javnom sektoru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710F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8.464.000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3E44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-1.114.000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8D3F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7.350.000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7BDC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86,84%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75D2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26,58%</w:t>
            </w:r>
          </w:p>
        </w:tc>
      </w:tr>
      <w:tr w:rsidR="00ED29AD" w:rsidRPr="00C35FBB" w14:paraId="46301E39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38F1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38612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59CF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Kapitalne pomoći trg.društvima u javnom sektoru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0F06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8.464.000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3530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-1.114.000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74BC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7.350.000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4BA1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86,84%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38BA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26,58%</w:t>
            </w:r>
          </w:p>
        </w:tc>
      </w:tr>
      <w:tr w:rsidR="00ED29AD" w:rsidRPr="00C35FBB" w14:paraId="19CE18A8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44B4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789F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Kapitalne pomoći poljoprivrednicima i obrtnicima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2D53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1.850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A084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-1.850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E036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65FE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63D1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ED29AD" w:rsidRPr="00C35FBB" w14:paraId="12F73261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9357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38632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2DD2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Kapitalne pomoći  obrtnicima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BA7D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1.850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2826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-1.850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125F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94D0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C248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C35FBB" w:rsidRPr="00C35FBB" w14:paraId="117102C1" w14:textId="77777777" w:rsidTr="00ED29A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546E22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11DF5A" w14:textId="77777777" w:rsidR="00C35FBB" w:rsidRPr="00C35FBB" w:rsidRDefault="00C35FBB" w:rsidP="00C35FBB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2B240BB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sz w:val="18"/>
                <w:szCs w:val="18"/>
                <w:lang w:eastAsia="hr-HR"/>
              </w:rPr>
              <w:t>40.260.850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6A3940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sz w:val="18"/>
                <w:szCs w:val="18"/>
                <w:lang w:eastAsia="hr-HR"/>
              </w:rPr>
              <w:t>-12.610.850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52314B4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sz w:val="18"/>
                <w:szCs w:val="18"/>
                <w:lang w:eastAsia="hr-HR"/>
              </w:rPr>
              <w:t>27.650.000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DE3008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sz w:val="18"/>
                <w:szCs w:val="18"/>
                <w:lang w:eastAsia="hr-HR"/>
              </w:rPr>
              <w:t>68,68%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E57973" w14:textId="77777777" w:rsidR="00C35FBB" w:rsidRPr="00C35FBB" w:rsidRDefault="00C35FBB" w:rsidP="00C35FBB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C35FBB">
              <w:rPr>
                <w:rFonts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0FED3BF0" w14:textId="48FCB683" w:rsidR="00C35FBB" w:rsidRDefault="00C35FBB" w:rsidP="005563FB">
      <w:pPr>
        <w:jc w:val="both"/>
        <w:rPr>
          <w:rFonts w:asciiTheme="minorHAnsi" w:eastAsia="Calibri" w:hAnsiTheme="minorHAnsi" w:cs="Calibri"/>
          <w:sz w:val="18"/>
          <w:szCs w:val="18"/>
        </w:rPr>
      </w:pPr>
    </w:p>
    <w:p w14:paraId="21F288A6" w14:textId="7D2FA261" w:rsidR="00C35FBB" w:rsidRPr="00C35FBB" w:rsidRDefault="00C35FBB" w:rsidP="005563FB">
      <w:pPr>
        <w:jc w:val="both"/>
        <w:rPr>
          <w:rFonts w:asciiTheme="minorHAnsi" w:eastAsia="Calibri" w:hAnsiTheme="minorHAnsi" w:cs="Calibri"/>
          <w:sz w:val="24"/>
          <w:szCs w:val="24"/>
        </w:rPr>
      </w:pPr>
      <w:r w:rsidRPr="00C35FBB">
        <w:rPr>
          <w:rFonts w:asciiTheme="minorHAnsi" w:eastAsia="Calibri" w:hAnsiTheme="minorHAnsi" w:cs="Calibri"/>
          <w:sz w:val="24"/>
          <w:szCs w:val="24"/>
        </w:rPr>
        <w:t>Prema uputi Ministarstva financija prijenosi privatnim vrtićima se evidentiraju na račun 35- subvencije a ne kao dosad na 38-ostali rashodi pa je to glavni razlog smanjenja ovih rashoda u 2022.godini.</w:t>
      </w:r>
    </w:p>
    <w:p w14:paraId="37BA885B" w14:textId="6448D296" w:rsidR="00E0529B" w:rsidRDefault="00E0529B" w:rsidP="005563FB">
      <w:pPr>
        <w:spacing w:after="0"/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</w:p>
    <w:p w14:paraId="58C3BA0E" w14:textId="77777777" w:rsidR="00ED29AD" w:rsidRDefault="00ED29AD" w:rsidP="005563FB">
      <w:pPr>
        <w:spacing w:after="0"/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</w:p>
    <w:p w14:paraId="0A0DDC36" w14:textId="77777777" w:rsidR="005563FB" w:rsidRPr="005563FB" w:rsidRDefault="005563FB" w:rsidP="005563FB">
      <w:pPr>
        <w:spacing w:after="0"/>
        <w:ind w:firstLine="708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Tekuće donacije -381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50C5AC3A" w14:textId="77777777" w:rsidR="005563FB" w:rsidRPr="005563FB" w:rsidRDefault="005563FB" w:rsidP="005563FB">
      <w:pPr>
        <w:spacing w:after="0"/>
        <w:rPr>
          <w:rFonts w:asciiTheme="minorHAnsi" w:eastAsia="Calibri" w:hAnsiTheme="minorHAnsi" w:cs="Calibri"/>
          <w:sz w:val="24"/>
          <w:szCs w:val="24"/>
        </w:rPr>
      </w:pPr>
    </w:p>
    <w:p w14:paraId="4A6D1824" w14:textId="4383BB0B" w:rsidR="005563FB" w:rsidRPr="005563FB" w:rsidRDefault="005563FB" w:rsidP="005563FB">
      <w:pPr>
        <w:spacing w:after="0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Planirane su ukupno </w:t>
      </w:r>
      <w:r w:rsidR="00054085">
        <w:rPr>
          <w:rFonts w:asciiTheme="minorHAnsi" w:eastAsia="Calibri" w:hAnsiTheme="minorHAnsi" w:cs="Calibri"/>
          <w:sz w:val="24"/>
          <w:szCs w:val="24"/>
        </w:rPr>
        <w:t>1</w:t>
      </w:r>
      <w:r w:rsidRPr="005563FB">
        <w:rPr>
          <w:rFonts w:asciiTheme="minorHAnsi" w:eastAsia="Calibri" w:hAnsiTheme="minorHAnsi" w:cs="Calibri"/>
          <w:sz w:val="24"/>
          <w:szCs w:val="24"/>
        </w:rPr>
        <w:t>7.</w:t>
      </w:r>
      <w:r w:rsidR="00054085">
        <w:rPr>
          <w:rFonts w:asciiTheme="minorHAnsi" w:eastAsia="Calibri" w:hAnsiTheme="minorHAnsi" w:cs="Calibri"/>
          <w:sz w:val="24"/>
          <w:szCs w:val="24"/>
        </w:rPr>
        <w:t>50</w:t>
      </w:r>
      <w:r w:rsidRPr="005563FB">
        <w:rPr>
          <w:rFonts w:asciiTheme="minorHAnsi" w:eastAsia="Calibri" w:hAnsiTheme="minorHAnsi" w:cs="Calibri"/>
          <w:sz w:val="24"/>
          <w:szCs w:val="24"/>
        </w:rPr>
        <w:t>0.000 kuna</w:t>
      </w:r>
    </w:p>
    <w:p w14:paraId="56440C92" w14:textId="3F8CDE6D" w:rsid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Odnose se na donacije za sport u iznosu od </w:t>
      </w:r>
      <w:r w:rsidR="00054085">
        <w:rPr>
          <w:rFonts w:asciiTheme="minorHAnsi" w:eastAsia="Calibri" w:hAnsiTheme="minorHAnsi" w:cs="Calibri"/>
          <w:sz w:val="24"/>
          <w:szCs w:val="24"/>
        </w:rPr>
        <w:t>5,9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 kuna, od čega se 5.400.000 kn  donira Zajednici sporta koja ih dijeli po usvojenim programima, a </w:t>
      </w:r>
      <w:r w:rsidR="00054085">
        <w:rPr>
          <w:rFonts w:asciiTheme="minorHAnsi" w:eastAsia="Calibri" w:hAnsiTheme="minorHAnsi" w:cs="Calibri"/>
          <w:sz w:val="24"/>
          <w:szCs w:val="24"/>
        </w:rPr>
        <w:t>5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00.000 se donira amaterskim sportskim udrugama za održavanje terena. </w:t>
      </w:r>
    </w:p>
    <w:p w14:paraId="1A3DCA80" w14:textId="4F8E4E3E" w:rsidR="001E0740" w:rsidRDefault="001E0740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</w:p>
    <w:tbl>
      <w:tblPr>
        <w:tblW w:w="9404" w:type="dxa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1042"/>
        <w:gridCol w:w="846"/>
        <w:gridCol w:w="1000"/>
      </w:tblGrid>
      <w:tr w:rsidR="001E0740" w:rsidRPr="001E0740" w14:paraId="1FBF15D1" w14:textId="77777777" w:rsidTr="001E074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0DCFDB" w14:textId="77777777" w:rsidR="001E0740" w:rsidRPr="001E0740" w:rsidRDefault="001E0740" w:rsidP="001E074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EBE237" w14:textId="77777777" w:rsidR="001E0740" w:rsidRPr="001E0740" w:rsidRDefault="001E0740" w:rsidP="001E074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9525A22" w14:textId="77777777" w:rsidR="001E0740" w:rsidRPr="001E0740" w:rsidRDefault="001E0740" w:rsidP="001E074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b/>
                <w:bCs/>
                <w:sz w:val="18"/>
                <w:szCs w:val="18"/>
                <w:lang w:eastAsia="hr-HR"/>
              </w:rPr>
              <w:t>Razlika 2022-2021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589163" w14:textId="77777777" w:rsidR="001E0740" w:rsidRPr="001E0740" w:rsidRDefault="001E0740" w:rsidP="001E074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CE3DEE" w14:textId="77777777" w:rsidR="001E0740" w:rsidRPr="001E0740" w:rsidRDefault="001E0740" w:rsidP="001E074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2AD1CA" w14:textId="77777777" w:rsidR="001E0740" w:rsidRPr="001E0740" w:rsidRDefault="001E0740" w:rsidP="001E0740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b/>
                <w:bCs/>
                <w:sz w:val="18"/>
                <w:szCs w:val="18"/>
                <w:lang w:eastAsia="hr-HR"/>
              </w:rPr>
              <w:t>Udjel 2022.</w:t>
            </w:r>
          </w:p>
        </w:tc>
      </w:tr>
      <w:tr w:rsidR="001E0740" w:rsidRPr="001E0740" w14:paraId="68FA525C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A7D4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Suradnja s gradovima prijateljima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2CA2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1AAC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F2F8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D1F3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1BCC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0,03%</w:t>
            </w:r>
          </w:p>
        </w:tc>
      </w:tr>
      <w:tr w:rsidR="001E0740" w:rsidRPr="001E0740" w14:paraId="3157D6D5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9592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Financiranje političkih stranaka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EF6F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255.000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56A8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42FE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255.000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13EA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EBC5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1,46%</w:t>
            </w:r>
          </w:p>
        </w:tc>
      </w:tr>
      <w:tr w:rsidR="001E0740" w:rsidRPr="001E0740" w14:paraId="6BDB18DE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834C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Savjet mladih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ACE2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55BB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DBE5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CECA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200,00%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D2C1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0,06%</w:t>
            </w:r>
          </w:p>
        </w:tc>
      </w:tr>
      <w:tr w:rsidR="001E0740" w:rsidRPr="001E0740" w14:paraId="57148AD5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F44F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Dječji vrtić "Jordanovac"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57B0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750.000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BE5F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2EA3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900.000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DAD1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120,00%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2EDB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5,14%</w:t>
            </w:r>
          </w:p>
        </w:tc>
      </w:tr>
      <w:tr w:rsidR="001E0740" w:rsidRPr="001E0740" w14:paraId="76872F65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F036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Dječji vrtić "Blagovijest"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1180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700.000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12B9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1807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800.000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8FB2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114,29%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809E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4,57%</w:t>
            </w:r>
          </w:p>
        </w:tc>
      </w:tr>
      <w:tr w:rsidR="001E0740" w:rsidRPr="001E0740" w14:paraId="0E0CAA42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3B97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Dječji vrtić "Mali Isus"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DA1D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350.000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3E3C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6A60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400.000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B1E7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114,29%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BA44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2,29%</w:t>
            </w:r>
          </w:p>
        </w:tc>
      </w:tr>
      <w:tr w:rsidR="001E0740" w:rsidRPr="001E0740" w14:paraId="15FC86BD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5A81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Dječji vrtić "Čarobni pianino"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C702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7.850.000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376B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-7.850.000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FDB4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C992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9E15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1E0740" w:rsidRPr="001E0740" w14:paraId="1C6ADC00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C4D9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Dječji vrtić "Sunce moje malo"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778C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1.900.000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10F8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-1.900.000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F580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0FA3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956A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1E0740" w:rsidRPr="001E0740" w14:paraId="4F68A417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B355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Sufinanciranje usluga dadilja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9AB9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72B0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-100.000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AEB8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8816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7329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1E0740" w:rsidRPr="001E0740" w14:paraId="060F1F5C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E908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Sufinanciranje vrtića na području Grada Trogira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E093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4D3B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-100.000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A481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BB0E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1241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1E0740" w:rsidRPr="001E0740" w14:paraId="0B1037F8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B470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Kaštelanska kulturna događanja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E003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310.000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BD30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BC12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460.000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CC17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148,39%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681E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2,63%</w:t>
            </w:r>
          </w:p>
        </w:tc>
      </w:tr>
      <w:tr w:rsidR="001E0740" w:rsidRPr="001E0740" w14:paraId="331EFFF7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DC3F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Financiranje kulture po programima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0460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1.550.000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A625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-300.000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E063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1.250.000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150C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80,65%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5A75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7,14%</w:t>
            </w:r>
          </w:p>
        </w:tc>
      </w:tr>
      <w:tr w:rsidR="001E0740" w:rsidRPr="001E0740" w14:paraId="27D411C1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68D1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Promicanje tehničke kulture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FBB6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2A2C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7E2D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53EC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664A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0,86%</w:t>
            </w:r>
          </w:p>
        </w:tc>
      </w:tr>
      <w:tr w:rsidR="001E0740" w:rsidRPr="001E0740" w14:paraId="00FCBC0E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F009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315B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1.100.000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50B8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6276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1.100.000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0482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DF8C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6,29%</w:t>
            </w:r>
          </w:p>
        </w:tc>
      </w:tr>
      <w:tr w:rsidR="001E0740" w:rsidRPr="001E0740" w14:paraId="44E76A71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0F6B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Programi udruga iz područja socijalne skrbi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6DC3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700.000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BAD0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A9C3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850.000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5C67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121,43%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CEF4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4,86%</w:t>
            </w:r>
          </w:p>
        </w:tc>
      </w:tr>
      <w:tr w:rsidR="001E0740" w:rsidRPr="001E0740" w14:paraId="08EF2054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3801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Programi udruga iz područja unapređenja zdravlja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7F17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290.000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7197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9EB3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290.000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01A2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7E10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1,66%</w:t>
            </w:r>
          </w:p>
        </w:tc>
      </w:tr>
      <w:tr w:rsidR="001E0740" w:rsidRPr="001E0740" w14:paraId="4C9C6579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FB4C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Programi udruga proisteklih iz Domovinskog rata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8913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710.000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580C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9C66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710.000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DF4E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7CB0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4,06%</w:t>
            </w:r>
          </w:p>
        </w:tc>
      </w:tr>
      <w:tr w:rsidR="001E0740" w:rsidRPr="001E0740" w14:paraId="1BDA8A84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9E69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Financiranje zajednice športskih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F89E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5.400.000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6A0B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D4A7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5.400.000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EE66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8FD3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30,86%</w:t>
            </w:r>
          </w:p>
        </w:tc>
      </w:tr>
      <w:tr w:rsidR="001E0740" w:rsidRPr="001E0740" w14:paraId="60FEE70D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9CE8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Financiranje amaterskih, rekreativnih i ostalih sportskih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3789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800.000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7901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-300.000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0D7A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F3AA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62,50%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7B6E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2,86%</w:t>
            </w:r>
          </w:p>
        </w:tc>
      </w:tr>
      <w:tr w:rsidR="001E0740" w:rsidRPr="001E0740" w14:paraId="5587AAC0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D17D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Financiranje vatrogasne zajednice i DVD-a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743D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2.620.000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1B1A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B792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2.620.000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30EE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12F2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14,97%</w:t>
            </w:r>
          </w:p>
        </w:tc>
      </w:tr>
      <w:tr w:rsidR="001E0740" w:rsidRPr="001E0740" w14:paraId="3EC89B29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639D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Gorska služba spašavanja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4C09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D27B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-50.000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9107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72F1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75,00%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4045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0,86%</w:t>
            </w:r>
          </w:p>
        </w:tc>
      </w:tr>
      <w:tr w:rsidR="001E0740" w:rsidRPr="001E0740" w14:paraId="12964AC0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438B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Turistička promidžba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088E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205A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-50.000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04B3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FEFF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70C6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1E0740" w:rsidRPr="001E0740" w14:paraId="3E944431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741B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Pomoć zdravstvenim institucijama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E6CE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531D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570E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6D8F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C6A3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0,29%</w:t>
            </w:r>
          </w:p>
        </w:tc>
      </w:tr>
      <w:tr w:rsidR="001E0740" w:rsidRPr="001E0740" w14:paraId="37D64C06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D1A2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Pomoć školama i institucijama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18C8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7DD5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31AB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2611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35D1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5,71%</w:t>
            </w:r>
          </w:p>
        </w:tc>
      </w:tr>
      <w:tr w:rsidR="001E0740" w:rsidRPr="001E0740" w14:paraId="3E556617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4564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Pomoć vjerskim zajednicama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E48C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92D2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5277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6058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E3E3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0,29%</w:t>
            </w:r>
          </w:p>
        </w:tc>
      </w:tr>
      <w:tr w:rsidR="001E0740" w:rsidRPr="001E0740" w14:paraId="2C5518E4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461C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Pomoć udrugama građana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A47E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450.000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6D97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D80D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450.000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4C48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3822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2,57%</w:t>
            </w:r>
          </w:p>
        </w:tc>
      </w:tr>
      <w:tr w:rsidR="001E0740" w:rsidRPr="001E0740" w14:paraId="45441541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A092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Turistička promidžba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D9CA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0D52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F535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B3BE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506C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color w:val="000000"/>
                <w:sz w:val="18"/>
                <w:szCs w:val="18"/>
                <w:lang w:eastAsia="hr-HR"/>
              </w:rPr>
              <w:t>0,57%</w:t>
            </w:r>
          </w:p>
        </w:tc>
      </w:tr>
      <w:tr w:rsidR="001E0740" w:rsidRPr="001E0740" w14:paraId="2CA3A60A" w14:textId="77777777" w:rsidTr="001E0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F0262B" w14:textId="77777777" w:rsidR="001E0740" w:rsidRPr="001E0740" w:rsidRDefault="001E0740" w:rsidP="001E074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F52B5F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b/>
                <w:bCs/>
                <w:sz w:val="18"/>
                <w:szCs w:val="18"/>
                <w:lang w:eastAsia="hr-HR"/>
              </w:rPr>
              <w:t>27.445.000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A8D96A1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b/>
                <w:bCs/>
                <w:sz w:val="18"/>
                <w:szCs w:val="18"/>
                <w:lang w:eastAsia="hr-HR"/>
              </w:rPr>
              <w:t>-9.945.000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D88464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b/>
                <w:bCs/>
                <w:sz w:val="18"/>
                <w:szCs w:val="18"/>
                <w:lang w:eastAsia="hr-HR"/>
              </w:rPr>
              <w:t>17.500.000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5BCB5D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b/>
                <w:bCs/>
                <w:sz w:val="18"/>
                <w:szCs w:val="18"/>
                <w:lang w:eastAsia="hr-HR"/>
              </w:rPr>
              <w:t>63,76%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95A339" w14:textId="77777777" w:rsidR="001E0740" w:rsidRPr="001E0740" w:rsidRDefault="001E0740" w:rsidP="001E0740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1E0740">
              <w:rPr>
                <w:rFonts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215C6DC7" w14:textId="77777777" w:rsidR="001E0740" w:rsidRPr="001E0740" w:rsidRDefault="001E0740" w:rsidP="005563FB">
      <w:pPr>
        <w:spacing w:after="0"/>
        <w:jc w:val="both"/>
        <w:rPr>
          <w:rFonts w:asciiTheme="minorHAnsi" w:eastAsia="Calibri" w:hAnsiTheme="minorHAnsi" w:cs="Calibri"/>
          <w:sz w:val="18"/>
          <w:szCs w:val="18"/>
        </w:rPr>
      </w:pPr>
    </w:p>
    <w:p w14:paraId="1E6AEBE0" w14:textId="7777777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06E7B4F0" w14:textId="55BC5881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Sredstva su predviđena  i za  udruge građana , vjerske zajednice , škole i zdravstvene ustanove, predškolski odgoj (vjerski vrtići). Za zaštitu od požara i civilnu zaštitu predviđeno 2.620.000 kuna. U Uredu gradonačelnika predviđeno je ukupno 2</w:t>
      </w:r>
      <w:r w:rsidR="00452391">
        <w:rPr>
          <w:rFonts w:asciiTheme="minorHAnsi" w:eastAsia="Calibri" w:hAnsiTheme="minorHAnsi" w:cs="Calibri"/>
          <w:sz w:val="24"/>
          <w:szCs w:val="24"/>
        </w:rPr>
        <w:t>7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0.000  kuna i to za rad Savjeta mladih, te donacije političkim strankama po odluci. Crveni križ će biti financiran sa 1.100.000,00 kn (ovdje je uključen i prijevoz djece) a udruge proistekle iz Domovinskog rata sa </w:t>
      </w:r>
      <w:r w:rsidR="00452391">
        <w:rPr>
          <w:rFonts w:asciiTheme="minorHAnsi" w:eastAsia="Calibri" w:hAnsiTheme="minorHAnsi" w:cs="Calibri"/>
          <w:sz w:val="24"/>
          <w:szCs w:val="24"/>
        </w:rPr>
        <w:t>71</w:t>
      </w:r>
      <w:r w:rsidRPr="005563FB">
        <w:rPr>
          <w:rFonts w:asciiTheme="minorHAnsi" w:eastAsia="Calibri" w:hAnsiTheme="minorHAnsi" w:cs="Calibri"/>
          <w:sz w:val="24"/>
          <w:szCs w:val="24"/>
        </w:rPr>
        <w:t>0.000,00 kn. Na promicanje kulture otpada 2,</w:t>
      </w:r>
      <w:r w:rsidR="00C26F67">
        <w:rPr>
          <w:rFonts w:asciiTheme="minorHAnsi" w:eastAsia="Calibri" w:hAnsiTheme="minorHAnsi" w:cs="Calibri"/>
          <w:sz w:val="24"/>
          <w:szCs w:val="24"/>
        </w:rPr>
        <w:t>54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milijuna kuna.</w:t>
      </w:r>
    </w:p>
    <w:p w14:paraId="02151663" w14:textId="7777777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7E08741B" w14:textId="77777777" w:rsidR="005563FB" w:rsidRPr="005563FB" w:rsidRDefault="005563FB" w:rsidP="005563FB">
      <w:pPr>
        <w:spacing w:after="0"/>
        <w:ind w:firstLine="708"/>
        <w:jc w:val="both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Kapitalne donacije -382</w:t>
      </w:r>
    </w:p>
    <w:p w14:paraId="255B2D18" w14:textId="30CEA63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Planirane su u iznosu od </w:t>
      </w:r>
      <w:r w:rsidR="00C26F67">
        <w:rPr>
          <w:rFonts w:asciiTheme="minorHAnsi" w:eastAsia="Calibri" w:hAnsiTheme="minorHAnsi" w:cs="Calibri"/>
          <w:sz w:val="24"/>
          <w:szCs w:val="24"/>
        </w:rPr>
        <w:t>2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  <w:r w:rsidR="00C26F67">
        <w:rPr>
          <w:rFonts w:asciiTheme="minorHAnsi" w:eastAsia="Calibri" w:hAnsiTheme="minorHAnsi" w:cs="Calibri"/>
          <w:sz w:val="24"/>
          <w:szCs w:val="24"/>
        </w:rPr>
        <w:t>610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.000 kn, a odnose se na kapitalne donacije </w:t>
      </w:r>
      <w:r w:rsidR="00C26F67">
        <w:rPr>
          <w:rFonts w:asciiTheme="minorHAnsi" w:eastAsia="Calibri" w:hAnsiTheme="minorHAnsi" w:cs="Calibri"/>
          <w:sz w:val="24"/>
          <w:szCs w:val="24"/>
        </w:rPr>
        <w:t>vjerskim zajednicama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C26F67">
        <w:rPr>
          <w:rFonts w:asciiTheme="minorHAnsi" w:eastAsia="Calibri" w:hAnsiTheme="minorHAnsi" w:cs="Calibri"/>
          <w:sz w:val="24"/>
          <w:szCs w:val="24"/>
        </w:rPr>
        <w:t>5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00.000,00 kn,  </w:t>
      </w:r>
      <w:r w:rsidR="002C4803">
        <w:rPr>
          <w:rFonts w:asciiTheme="minorHAnsi" w:eastAsia="Calibri" w:hAnsiTheme="minorHAnsi" w:cs="Calibri"/>
          <w:sz w:val="24"/>
          <w:szCs w:val="24"/>
        </w:rPr>
        <w:t>športskim društvima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2C4803">
        <w:rPr>
          <w:rFonts w:asciiTheme="minorHAnsi" w:eastAsia="Calibri" w:hAnsiTheme="minorHAnsi" w:cs="Calibri"/>
          <w:sz w:val="24"/>
          <w:szCs w:val="24"/>
        </w:rPr>
        <w:t>5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0.000,00 kn, vatrogastvu 1.800.000,00 kn za nabavku vozila, HGSS-u </w:t>
      </w:r>
      <w:r w:rsidR="002C4803">
        <w:rPr>
          <w:rFonts w:asciiTheme="minorHAnsi" w:eastAsia="Calibri" w:hAnsiTheme="minorHAnsi" w:cs="Calibri"/>
          <w:sz w:val="24"/>
          <w:szCs w:val="24"/>
        </w:rPr>
        <w:t>1</w:t>
      </w:r>
      <w:r w:rsidRPr="005563FB">
        <w:rPr>
          <w:rFonts w:asciiTheme="minorHAnsi" w:eastAsia="Calibri" w:hAnsiTheme="minorHAnsi" w:cs="Calibri"/>
          <w:sz w:val="24"/>
          <w:szCs w:val="24"/>
        </w:rPr>
        <w:t>50.000.</w:t>
      </w:r>
    </w:p>
    <w:p w14:paraId="35DDB0E2" w14:textId="77777777" w:rsidR="005563FB" w:rsidRPr="005563FB" w:rsidRDefault="005563FB" w:rsidP="005563FB">
      <w:pPr>
        <w:spacing w:after="0"/>
        <w:ind w:firstLine="708"/>
        <w:jc w:val="both"/>
        <w:rPr>
          <w:rFonts w:asciiTheme="minorHAnsi" w:eastAsia="Calibri" w:hAnsiTheme="minorHAnsi" w:cs="Calibri"/>
          <w:b/>
          <w:bCs/>
          <w:sz w:val="24"/>
          <w:szCs w:val="24"/>
        </w:rPr>
      </w:pPr>
    </w:p>
    <w:p w14:paraId="14D7ACAA" w14:textId="77777777" w:rsidR="005563FB" w:rsidRPr="005563FB" w:rsidRDefault="005563FB" w:rsidP="005563FB">
      <w:pPr>
        <w:spacing w:after="0"/>
        <w:ind w:firstLine="708"/>
        <w:jc w:val="both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Kazne, penali i naknade štete -383</w:t>
      </w:r>
    </w:p>
    <w:p w14:paraId="3107B214" w14:textId="7777777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Planirane su u iznosu od 190.000 kn u slučaju potrebe za istima.</w:t>
      </w:r>
    </w:p>
    <w:p w14:paraId="0F476536" w14:textId="7777777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41028815" w14:textId="77777777" w:rsidR="005563FB" w:rsidRPr="005563FB" w:rsidRDefault="005563FB" w:rsidP="005563FB">
      <w:pPr>
        <w:spacing w:after="0"/>
        <w:ind w:firstLine="708"/>
        <w:jc w:val="both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Kapitalne pomoći -386</w:t>
      </w:r>
    </w:p>
    <w:p w14:paraId="192B61B3" w14:textId="692FFE7E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Planirane su u iznosu od </w:t>
      </w:r>
      <w:r w:rsidR="002C4803">
        <w:rPr>
          <w:rFonts w:asciiTheme="minorHAnsi" w:eastAsia="Calibri" w:hAnsiTheme="minorHAnsi" w:cs="Calibri"/>
          <w:sz w:val="24"/>
          <w:szCs w:val="24"/>
        </w:rPr>
        <w:t>7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  <w:r w:rsidR="002C4803">
        <w:rPr>
          <w:rFonts w:asciiTheme="minorHAnsi" w:eastAsia="Calibri" w:hAnsiTheme="minorHAnsi" w:cs="Calibri"/>
          <w:sz w:val="24"/>
          <w:szCs w:val="24"/>
        </w:rPr>
        <w:t>350</w:t>
      </w:r>
      <w:r w:rsidRPr="005563FB">
        <w:rPr>
          <w:rFonts w:asciiTheme="minorHAnsi" w:eastAsia="Calibri" w:hAnsiTheme="minorHAnsi" w:cs="Calibri"/>
          <w:sz w:val="24"/>
          <w:szCs w:val="24"/>
        </w:rPr>
        <w:t>.000 kn, a odnose na sufinanciranje opskrbe pitkom vodom-5.</w:t>
      </w:r>
      <w:r w:rsidR="002C4803">
        <w:rPr>
          <w:rFonts w:asciiTheme="minorHAnsi" w:eastAsia="Calibri" w:hAnsiTheme="minorHAnsi" w:cs="Calibri"/>
          <w:sz w:val="24"/>
          <w:szCs w:val="24"/>
        </w:rPr>
        <w:t>3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00.000 kn, Zeleno i modro </w:t>
      </w:r>
      <w:r w:rsidR="002C4803">
        <w:rPr>
          <w:rFonts w:asciiTheme="minorHAnsi" w:eastAsia="Calibri" w:hAnsiTheme="minorHAnsi" w:cs="Calibri"/>
          <w:sz w:val="24"/>
          <w:szCs w:val="24"/>
        </w:rPr>
        <w:t xml:space="preserve">1 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mil kn, sufinanciranje nabavke autobusa </w:t>
      </w:r>
      <w:r w:rsidR="002C4803">
        <w:rPr>
          <w:rFonts w:asciiTheme="minorHAnsi" w:eastAsia="Calibri" w:hAnsiTheme="minorHAnsi" w:cs="Calibri"/>
          <w:sz w:val="24"/>
          <w:szCs w:val="24"/>
        </w:rPr>
        <w:t xml:space="preserve">i ticketinga 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Promet-u </w:t>
      </w:r>
      <w:r w:rsidR="002C4803">
        <w:rPr>
          <w:rFonts w:asciiTheme="minorHAnsi" w:eastAsia="Calibri" w:hAnsiTheme="minorHAnsi" w:cs="Calibri"/>
          <w:sz w:val="24"/>
          <w:szCs w:val="24"/>
        </w:rPr>
        <w:t>1,05 mil.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DA5563" w:rsidRPr="005563FB">
        <w:rPr>
          <w:rFonts w:asciiTheme="minorHAnsi" w:eastAsia="Calibri" w:hAnsiTheme="minorHAnsi" w:cs="Calibri"/>
          <w:sz w:val="24"/>
          <w:szCs w:val="24"/>
        </w:rPr>
        <w:t>K</w:t>
      </w:r>
      <w:r w:rsidRPr="005563FB">
        <w:rPr>
          <w:rFonts w:asciiTheme="minorHAnsi" w:eastAsia="Calibri" w:hAnsiTheme="minorHAnsi" w:cs="Calibri"/>
          <w:sz w:val="24"/>
          <w:szCs w:val="24"/>
        </w:rPr>
        <w:t>n</w:t>
      </w:r>
      <w:r w:rsidR="00DA5563">
        <w:rPr>
          <w:rFonts w:asciiTheme="minorHAnsi" w:eastAsia="Calibri" w:hAnsiTheme="minorHAnsi" w:cs="Calibri"/>
          <w:sz w:val="24"/>
          <w:szCs w:val="24"/>
        </w:rPr>
        <w:t>.</w:t>
      </w:r>
    </w:p>
    <w:p w14:paraId="304FE23A" w14:textId="7777777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03A68884" w14:textId="77777777" w:rsidR="005563FB" w:rsidRPr="005563FB" w:rsidRDefault="005563FB" w:rsidP="005563FB">
      <w:pPr>
        <w:spacing w:after="0"/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</w:p>
    <w:p w14:paraId="26CFE155" w14:textId="77777777" w:rsidR="005563FB" w:rsidRPr="005563FB" w:rsidRDefault="005563FB" w:rsidP="005563FB">
      <w:pPr>
        <w:spacing w:after="0"/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Rashodi za nabavu nefinancijske imovine 4</w:t>
      </w:r>
    </w:p>
    <w:p w14:paraId="10044842" w14:textId="7777777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0F54BF4E" w14:textId="1812B7F4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Rashodi za nabavu nefinancijske imovine planiraju se u iznosu od </w:t>
      </w:r>
      <w:r w:rsidR="00123439" w:rsidRPr="00123439">
        <w:rPr>
          <w:rFonts w:asciiTheme="minorHAnsi" w:eastAsia="Calibri" w:hAnsiTheme="minorHAnsi" w:cs="Calibri"/>
          <w:sz w:val="24"/>
          <w:szCs w:val="24"/>
        </w:rPr>
        <w:t>35.560.550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kuna. U nastavku se daju pojašnjenja predloženog financijskog plana za 202</w:t>
      </w:r>
      <w:r w:rsidR="00123439">
        <w:rPr>
          <w:rFonts w:asciiTheme="minorHAnsi" w:eastAsia="Calibri" w:hAnsiTheme="minorHAnsi" w:cs="Calibri"/>
          <w:sz w:val="24"/>
          <w:szCs w:val="24"/>
        </w:rPr>
        <w:t>2</w:t>
      </w:r>
      <w:r w:rsidRPr="005563FB">
        <w:rPr>
          <w:rFonts w:asciiTheme="minorHAnsi" w:eastAsia="Calibri" w:hAnsiTheme="minorHAnsi" w:cs="Calibri"/>
          <w:sz w:val="24"/>
          <w:szCs w:val="24"/>
        </w:rPr>
        <w:t>. godinu po pojedinim grupama.</w:t>
      </w:r>
    </w:p>
    <w:p w14:paraId="413BD712" w14:textId="7777777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2FB6AF2C" w14:textId="77777777" w:rsidR="005563FB" w:rsidRPr="005563FB" w:rsidRDefault="005563FB" w:rsidP="005563FB">
      <w:pPr>
        <w:spacing w:after="0"/>
        <w:ind w:firstLine="708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Rashodi za nabavu neproizvedene dugotrajne imovine 41</w:t>
      </w:r>
    </w:p>
    <w:p w14:paraId="0E6AF877" w14:textId="52BE89D1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Planirani su u iznosu od </w:t>
      </w:r>
      <w:r w:rsidR="00EA489B">
        <w:rPr>
          <w:rFonts w:asciiTheme="minorHAnsi" w:eastAsia="Calibri" w:hAnsiTheme="minorHAnsi" w:cs="Calibri"/>
          <w:sz w:val="24"/>
          <w:szCs w:val="24"/>
        </w:rPr>
        <w:t>8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  <w:r w:rsidR="00DB6BF8">
        <w:rPr>
          <w:rFonts w:asciiTheme="minorHAnsi" w:eastAsia="Calibri" w:hAnsiTheme="minorHAnsi" w:cs="Calibri"/>
          <w:sz w:val="24"/>
          <w:szCs w:val="24"/>
        </w:rPr>
        <w:t>937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  <w:r w:rsidR="00DB6BF8">
        <w:rPr>
          <w:rFonts w:asciiTheme="minorHAnsi" w:eastAsia="Calibri" w:hAnsiTheme="minorHAnsi" w:cs="Calibri"/>
          <w:sz w:val="24"/>
          <w:szCs w:val="24"/>
        </w:rPr>
        <w:t>000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kuna i odnose se većim dijelom na </w:t>
      </w:r>
      <w:r w:rsidR="00EA489B">
        <w:rPr>
          <w:rFonts w:asciiTheme="minorHAnsi" w:eastAsia="Calibri" w:hAnsiTheme="minorHAnsi" w:cs="Calibri"/>
          <w:sz w:val="24"/>
          <w:szCs w:val="24"/>
        </w:rPr>
        <w:t xml:space="preserve">materijalnu </w:t>
      </w:r>
      <w:r w:rsidR="00603415">
        <w:rPr>
          <w:rFonts w:asciiTheme="minorHAnsi" w:eastAsia="Calibri" w:hAnsiTheme="minorHAnsi" w:cs="Calibri"/>
          <w:sz w:val="24"/>
          <w:szCs w:val="24"/>
        </w:rPr>
        <w:t>imovinu</w:t>
      </w:r>
      <w:r w:rsidR="00EA489B">
        <w:rPr>
          <w:rFonts w:asciiTheme="minorHAnsi" w:eastAsia="Calibri" w:hAnsiTheme="minorHAnsi" w:cs="Calibri"/>
          <w:sz w:val="24"/>
          <w:szCs w:val="24"/>
        </w:rPr>
        <w:t xml:space="preserve"> (kupnja zemljišta </w:t>
      </w:r>
      <w:r w:rsidR="00DB6BF8">
        <w:rPr>
          <w:rFonts w:asciiTheme="minorHAnsi" w:eastAsia="Calibri" w:hAnsiTheme="minorHAnsi" w:cs="Calibri"/>
          <w:sz w:val="24"/>
          <w:szCs w:val="24"/>
        </w:rPr>
        <w:t>3</w:t>
      </w:r>
      <w:r w:rsidR="00EA489B">
        <w:rPr>
          <w:rFonts w:asciiTheme="minorHAnsi" w:eastAsia="Calibri" w:hAnsiTheme="minorHAnsi" w:cs="Calibri"/>
          <w:sz w:val="24"/>
          <w:szCs w:val="24"/>
        </w:rPr>
        <w:t>,</w:t>
      </w:r>
      <w:r w:rsidR="00DB6BF8">
        <w:rPr>
          <w:rFonts w:asciiTheme="minorHAnsi" w:eastAsia="Calibri" w:hAnsiTheme="minorHAnsi" w:cs="Calibri"/>
          <w:sz w:val="24"/>
          <w:szCs w:val="24"/>
        </w:rPr>
        <w:t>3</w:t>
      </w:r>
      <w:r w:rsidR="00EA489B">
        <w:rPr>
          <w:rFonts w:asciiTheme="minorHAnsi" w:eastAsia="Calibri" w:hAnsiTheme="minorHAnsi" w:cs="Calibri"/>
          <w:sz w:val="24"/>
          <w:szCs w:val="24"/>
        </w:rPr>
        <w:t xml:space="preserve"> mil.kn</w:t>
      </w:r>
      <w:r w:rsidR="00711586">
        <w:rPr>
          <w:rFonts w:asciiTheme="minorHAnsi" w:eastAsia="Calibri" w:hAnsiTheme="minorHAnsi" w:cs="Calibri"/>
          <w:sz w:val="24"/>
          <w:szCs w:val="24"/>
        </w:rPr>
        <w:t>)</w:t>
      </w:r>
      <w:r w:rsidR="00EA489B">
        <w:rPr>
          <w:rFonts w:asciiTheme="minorHAnsi" w:eastAsia="Calibri" w:hAnsiTheme="minorHAnsi" w:cs="Calibri"/>
          <w:sz w:val="24"/>
          <w:szCs w:val="24"/>
        </w:rPr>
        <w:t xml:space="preserve">, te 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nematerijalnu imovinu (projekti , </w:t>
      </w:r>
      <w:r w:rsidR="00603415" w:rsidRPr="005563FB">
        <w:rPr>
          <w:rFonts w:asciiTheme="minorHAnsi" w:eastAsia="Calibri" w:hAnsiTheme="minorHAnsi" w:cs="Calibri"/>
          <w:sz w:val="24"/>
          <w:szCs w:val="24"/>
        </w:rPr>
        <w:t>elaborati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,…) </w:t>
      </w:r>
      <w:r w:rsidR="00DB6BF8">
        <w:rPr>
          <w:rFonts w:asciiTheme="minorHAnsi" w:eastAsia="Calibri" w:hAnsiTheme="minorHAnsi" w:cs="Calibri"/>
          <w:sz w:val="24"/>
          <w:szCs w:val="24"/>
        </w:rPr>
        <w:t>5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DB6BF8">
        <w:rPr>
          <w:rFonts w:asciiTheme="minorHAnsi" w:eastAsia="Calibri" w:hAnsiTheme="minorHAnsi" w:cs="Calibri"/>
          <w:sz w:val="24"/>
          <w:szCs w:val="24"/>
        </w:rPr>
        <w:t>637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mil.kuna</w:t>
      </w:r>
      <w:r w:rsidR="00EA489B">
        <w:rPr>
          <w:rFonts w:asciiTheme="minorHAnsi" w:eastAsia="Calibri" w:hAnsiTheme="minorHAnsi" w:cs="Calibri"/>
          <w:sz w:val="24"/>
          <w:szCs w:val="24"/>
        </w:rPr>
        <w:t>.</w:t>
      </w:r>
    </w:p>
    <w:p w14:paraId="38CA99AA" w14:textId="7777777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4F75DD95" w14:textId="648C0FA0" w:rsid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U tabeli su navedeni rashodi-41 prema aktivnostima: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106"/>
        <w:gridCol w:w="1134"/>
        <w:gridCol w:w="1134"/>
        <w:gridCol w:w="1134"/>
        <w:gridCol w:w="851"/>
        <w:gridCol w:w="992"/>
      </w:tblGrid>
      <w:tr w:rsidR="00DB6BF8" w:rsidRPr="00DB6BF8" w14:paraId="41DF4537" w14:textId="77777777" w:rsidTr="00DB6BF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5495A9" w14:textId="77777777" w:rsidR="00DB6BF8" w:rsidRPr="00DB6BF8" w:rsidRDefault="00DB6BF8" w:rsidP="00DB6BF8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9FE2C11" w14:textId="77777777" w:rsidR="00DB6BF8" w:rsidRPr="00DB6BF8" w:rsidRDefault="00DB6BF8" w:rsidP="00DB6BF8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ED6070" w14:textId="77777777" w:rsidR="00DB6BF8" w:rsidRPr="00DB6BF8" w:rsidRDefault="00DB6BF8" w:rsidP="00DB6BF8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b/>
                <w:bCs/>
                <w:sz w:val="18"/>
                <w:szCs w:val="18"/>
                <w:lang w:eastAsia="hr-HR"/>
              </w:rPr>
              <w:t>Razlika 2022-2021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99A7D7" w14:textId="77777777" w:rsidR="00DB6BF8" w:rsidRPr="00DB6BF8" w:rsidRDefault="00DB6BF8" w:rsidP="00DB6BF8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C8C650" w14:textId="77777777" w:rsidR="00DB6BF8" w:rsidRPr="00DB6BF8" w:rsidRDefault="00DB6BF8" w:rsidP="00DB6BF8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6CB16D" w14:textId="77777777" w:rsidR="00DB6BF8" w:rsidRPr="00DB6BF8" w:rsidRDefault="00DB6BF8" w:rsidP="00DB6BF8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b/>
                <w:bCs/>
                <w:sz w:val="18"/>
                <w:szCs w:val="18"/>
                <w:lang w:eastAsia="hr-HR"/>
              </w:rPr>
              <w:t>Udjel 2022.</w:t>
            </w:r>
          </w:p>
        </w:tc>
      </w:tr>
      <w:tr w:rsidR="00DB6BF8" w:rsidRPr="00DB6BF8" w14:paraId="0DAEDAB2" w14:textId="77777777" w:rsidTr="00DB6B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25AD" w14:textId="77777777" w:rsidR="00DB6BF8" w:rsidRPr="00DB6BF8" w:rsidRDefault="00DB6BF8" w:rsidP="00DB6BF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Rashodi javne uprave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22DC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1091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3874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55.000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B9AC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B4F5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0,62%</w:t>
            </w:r>
          </w:p>
        </w:tc>
      </w:tr>
      <w:tr w:rsidR="00DB6BF8" w:rsidRPr="00DB6BF8" w14:paraId="267D0CD6" w14:textId="77777777" w:rsidTr="00DB6B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A147" w14:textId="77777777" w:rsidR="00DB6BF8" w:rsidRPr="00DB6BF8" w:rsidRDefault="00DB6BF8" w:rsidP="00DB6BF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Rashodi informatičkog sustava i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E6A0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75.300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6D0E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-75.300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7F42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0AA1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7B83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DB6BF8" w:rsidRPr="00DB6BF8" w14:paraId="261CE0E2" w14:textId="77777777" w:rsidTr="00DB6B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22B8" w14:textId="77777777" w:rsidR="00DB6BF8" w:rsidRPr="00DB6BF8" w:rsidRDefault="00DB6BF8" w:rsidP="00DB6BF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 xml:space="preserve">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B06E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315.000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3FA7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-315.000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E5C1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C8CB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0FFA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DB6BF8" w:rsidRPr="00DB6BF8" w14:paraId="1A0ED15B" w14:textId="77777777" w:rsidTr="00DB6B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09A1" w14:textId="77777777" w:rsidR="00DB6BF8" w:rsidRPr="00DB6BF8" w:rsidRDefault="00DB6BF8" w:rsidP="00DB6BF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42EC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1.800.000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44FB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2495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1.800.000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21F8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2FFE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20,14%</w:t>
            </w:r>
          </w:p>
        </w:tc>
      </w:tr>
      <w:tr w:rsidR="00DB6BF8" w:rsidRPr="00DB6BF8" w14:paraId="1876E0FE" w14:textId="77777777" w:rsidTr="00DB6B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5EBC" w14:textId="77777777" w:rsidR="00DB6BF8" w:rsidRPr="00DB6BF8" w:rsidRDefault="00DB6BF8" w:rsidP="00DB6BF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217F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4.460.000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DEC1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1.790.000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4EE1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6.250.000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F37E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140,13%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0CE1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69,93%</w:t>
            </w:r>
          </w:p>
        </w:tc>
      </w:tr>
      <w:tr w:rsidR="00DB6BF8" w:rsidRPr="00DB6BF8" w14:paraId="4ABE9B35" w14:textId="77777777" w:rsidTr="00DB6B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2E2B" w14:textId="77777777" w:rsidR="00DB6BF8" w:rsidRPr="00DB6BF8" w:rsidRDefault="00DB6BF8" w:rsidP="00DB6BF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DC73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DD6D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-50.000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7A88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AEBC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50,00%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61E6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0,56%</w:t>
            </w:r>
          </w:p>
        </w:tc>
      </w:tr>
      <w:tr w:rsidR="00DB6BF8" w:rsidRPr="00DB6BF8" w14:paraId="29085C53" w14:textId="77777777" w:rsidTr="00DB6B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1440" w14:textId="77777777" w:rsidR="00DB6BF8" w:rsidRPr="00DB6BF8" w:rsidRDefault="00DB6BF8" w:rsidP="00DB6BF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Izgradnja reciklažnog dvorišta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A67B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7E3E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-250.000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0E41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A5A9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16,67%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1A42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0,56%</w:t>
            </w:r>
          </w:p>
        </w:tc>
      </w:tr>
      <w:tr w:rsidR="00DB6BF8" w:rsidRPr="00DB6BF8" w14:paraId="45519507" w14:textId="77777777" w:rsidTr="00DB6B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A9DA" w14:textId="77777777" w:rsidR="00DB6BF8" w:rsidRPr="00DB6BF8" w:rsidRDefault="00DB6BF8" w:rsidP="00DB6BF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F7E6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F504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78B6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CB49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200,00%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A250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0,02%</w:t>
            </w:r>
          </w:p>
        </w:tc>
      </w:tr>
      <w:tr w:rsidR="00DB6BF8" w:rsidRPr="00DB6BF8" w14:paraId="1EF3B1F7" w14:textId="77777777" w:rsidTr="00DB6B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0FB2" w14:textId="77777777" w:rsidR="00DB6BF8" w:rsidRPr="00DB6BF8" w:rsidRDefault="00DB6BF8" w:rsidP="00DB6BF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Opskrba pitkom vodom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1DEB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53.000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9CAE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-53.000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B706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25AA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C558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DB6BF8" w:rsidRPr="00DB6BF8" w14:paraId="391D7AA0" w14:textId="77777777" w:rsidTr="00DB6B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00EA" w14:textId="77777777" w:rsidR="00DB6BF8" w:rsidRPr="00DB6BF8" w:rsidRDefault="00DB6BF8" w:rsidP="00DB6BF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Upravljanje poslovnim i stambenim prostorima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BC9E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C84D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-20.000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EFB7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0CBC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60,00%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4631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0,34%</w:t>
            </w:r>
          </w:p>
        </w:tc>
      </w:tr>
      <w:tr w:rsidR="00DB6BF8" w:rsidRPr="00DB6BF8" w14:paraId="59A89BBC" w14:textId="77777777" w:rsidTr="00DB6B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2823" w14:textId="77777777" w:rsidR="00DB6BF8" w:rsidRPr="00DB6BF8" w:rsidRDefault="00DB6BF8" w:rsidP="00DB6BF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Izgradnja gradskih objekata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A2A8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250.000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B5A2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-50.000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074F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1420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80,00%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F2D4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2,24%</w:t>
            </w:r>
          </w:p>
        </w:tc>
      </w:tr>
      <w:tr w:rsidR="00DB6BF8" w:rsidRPr="00DB6BF8" w14:paraId="1601F526" w14:textId="77777777" w:rsidTr="00DB6B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6AB7" w14:textId="77777777" w:rsidR="00DB6BF8" w:rsidRPr="00DB6BF8" w:rsidRDefault="00DB6BF8" w:rsidP="00DB6BF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Priprema zemljišta i zaštita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CC25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21.635.010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5CDD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-21.135.010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77AE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2F8C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2,31%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BF76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color w:val="000000"/>
                <w:sz w:val="18"/>
                <w:szCs w:val="18"/>
                <w:lang w:eastAsia="hr-HR"/>
              </w:rPr>
              <w:t>5,59%</w:t>
            </w:r>
          </w:p>
        </w:tc>
      </w:tr>
      <w:tr w:rsidR="00DB6BF8" w:rsidRPr="00DB6BF8" w14:paraId="04241AAB" w14:textId="77777777" w:rsidTr="00DB6B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268034" w14:textId="77777777" w:rsidR="00DB6BF8" w:rsidRPr="00DB6BF8" w:rsidRDefault="00DB6BF8" w:rsidP="00DB6BF8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113D15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b/>
                <w:bCs/>
                <w:sz w:val="18"/>
                <w:szCs w:val="18"/>
                <w:lang w:eastAsia="hr-HR"/>
              </w:rPr>
              <w:t>29.039.310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612194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b/>
                <w:bCs/>
                <w:sz w:val="18"/>
                <w:szCs w:val="18"/>
                <w:lang w:eastAsia="hr-HR"/>
              </w:rPr>
              <w:t>-20.102.310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51E129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b/>
                <w:bCs/>
                <w:sz w:val="18"/>
                <w:szCs w:val="18"/>
                <w:lang w:eastAsia="hr-HR"/>
              </w:rPr>
              <w:t>8.937.000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37DD26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b/>
                <w:bCs/>
                <w:sz w:val="18"/>
                <w:szCs w:val="18"/>
                <w:lang w:eastAsia="hr-HR"/>
              </w:rPr>
              <w:t>30,78%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2BF35D" w14:textId="77777777" w:rsidR="00DB6BF8" w:rsidRPr="00DB6BF8" w:rsidRDefault="00DB6BF8" w:rsidP="00DB6BF8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DB6BF8">
              <w:rPr>
                <w:rFonts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6C40696E" w14:textId="7E1987E9" w:rsidR="00DB6BF8" w:rsidRPr="00DB6BF8" w:rsidRDefault="00DB6BF8" w:rsidP="005563FB">
      <w:pPr>
        <w:spacing w:after="0"/>
        <w:jc w:val="both"/>
        <w:rPr>
          <w:rFonts w:asciiTheme="minorHAnsi" w:eastAsia="Calibri" w:hAnsiTheme="minorHAnsi" w:cs="Calibri"/>
          <w:sz w:val="18"/>
          <w:szCs w:val="18"/>
        </w:rPr>
      </w:pPr>
    </w:p>
    <w:p w14:paraId="2567FB7E" w14:textId="77777777" w:rsidR="005563FB" w:rsidRPr="005563FB" w:rsidRDefault="005563FB" w:rsidP="005563FB">
      <w:pPr>
        <w:spacing w:after="0"/>
        <w:ind w:firstLine="708"/>
        <w:rPr>
          <w:color w:val="000000"/>
          <w:sz w:val="24"/>
          <w:szCs w:val="24"/>
          <w:lang w:eastAsia="hr-HR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Rashodi za nabavu proizvedene dugotrajne imovine  42</w:t>
      </w:r>
    </w:p>
    <w:p w14:paraId="2127CA78" w14:textId="77777777" w:rsidR="005563FB" w:rsidRPr="005563FB" w:rsidRDefault="005563FB" w:rsidP="005563FB">
      <w:pPr>
        <w:spacing w:after="0"/>
        <w:rPr>
          <w:rFonts w:asciiTheme="minorHAnsi" w:eastAsia="Calibri" w:hAnsiTheme="minorHAnsi" w:cs="Calibri"/>
          <w:sz w:val="24"/>
          <w:szCs w:val="24"/>
        </w:rPr>
      </w:pPr>
    </w:p>
    <w:p w14:paraId="0E8F3231" w14:textId="336E3F75" w:rsidR="005563FB" w:rsidRPr="005563FB" w:rsidRDefault="005563FB" w:rsidP="005563FB">
      <w:pPr>
        <w:spacing w:after="0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Planirani su u iznosu od </w:t>
      </w:r>
      <w:r w:rsidRPr="005563FB">
        <w:rPr>
          <w:color w:val="000000"/>
          <w:sz w:val="24"/>
          <w:szCs w:val="24"/>
          <w:lang w:eastAsia="hr-HR"/>
        </w:rPr>
        <w:t>1</w:t>
      </w:r>
      <w:r w:rsidR="007062B2">
        <w:rPr>
          <w:color w:val="000000"/>
          <w:sz w:val="24"/>
          <w:szCs w:val="24"/>
          <w:lang w:eastAsia="hr-HR"/>
        </w:rPr>
        <w:t>4</w:t>
      </w:r>
      <w:r w:rsidRPr="005563FB">
        <w:rPr>
          <w:color w:val="000000"/>
          <w:sz w:val="24"/>
          <w:szCs w:val="24"/>
          <w:lang w:eastAsia="hr-HR"/>
        </w:rPr>
        <w:t>.</w:t>
      </w:r>
      <w:r w:rsidR="007062B2">
        <w:rPr>
          <w:color w:val="000000"/>
          <w:sz w:val="24"/>
          <w:szCs w:val="24"/>
          <w:lang w:eastAsia="hr-HR"/>
        </w:rPr>
        <w:t>798.550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kuna i to:</w:t>
      </w:r>
    </w:p>
    <w:p w14:paraId="2685380D" w14:textId="77777777" w:rsidR="005563FB" w:rsidRPr="005563FB" w:rsidRDefault="005563FB" w:rsidP="005563FB">
      <w:pPr>
        <w:spacing w:after="0"/>
        <w:rPr>
          <w:color w:val="000000"/>
          <w:sz w:val="24"/>
          <w:szCs w:val="24"/>
          <w:lang w:eastAsia="hr-HR"/>
        </w:rPr>
      </w:pPr>
    </w:p>
    <w:p w14:paraId="5FC411AE" w14:textId="53FADAF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color w:val="FF0000"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 xml:space="preserve">Građevinski objekti -421 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planirani su u iznosu od </w:t>
      </w:r>
      <w:r w:rsidR="007062B2">
        <w:rPr>
          <w:sz w:val="24"/>
          <w:szCs w:val="24"/>
          <w:lang w:eastAsia="hr-HR"/>
        </w:rPr>
        <w:t>5</w:t>
      </w:r>
      <w:r w:rsidRPr="005563FB">
        <w:rPr>
          <w:sz w:val="24"/>
          <w:szCs w:val="24"/>
          <w:lang w:eastAsia="hr-HR"/>
        </w:rPr>
        <w:t>.</w:t>
      </w:r>
      <w:r w:rsidR="007062B2">
        <w:rPr>
          <w:sz w:val="24"/>
          <w:szCs w:val="24"/>
          <w:lang w:eastAsia="hr-HR"/>
        </w:rPr>
        <w:t>4</w:t>
      </w:r>
      <w:r w:rsidRPr="005563FB">
        <w:rPr>
          <w:sz w:val="24"/>
          <w:szCs w:val="24"/>
          <w:lang w:eastAsia="hr-HR"/>
        </w:rPr>
        <w:t>00.000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kuna i odnose se na:, izgradnju groblja </w:t>
      </w:r>
      <w:r w:rsidR="007062B2">
        <w:rPr>
          <w:rFonts w:asciiTheme="minorHAnsi" w:eastAsia="Calibri" w:hAnsiTheme="minorHAnsi" w:cs="Calibri"/>
          <w:sz w:val="24"/>
          <w:szCs w:val="24"/>
        </w:rPr>
        <w:t>1.2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00.000,00 kn, reciklažnog dvorišta </w:t>
      </w:r>
      <w:r w:rsidR="007062B2">
        <w:rPr>
          <w:rFonts w:asciiTheme="minorHAnsi" w:eastAsia="Calibri" w:hAnsiTheme="minorHAnsi" w:cs="Calibri"/>
          <w:sz w:val="24"/>
          <w:szCs w:val="24"/>
        </w:rPr>
        <w:t xml:space="preserve">2 </w:t>
      </w:r>
      <w:r w:rsidRPr="005563FB">
        <w:rPr>
          <w:rFonts w:asciiTheme="minorHAnsi" w:eastAsia="Calibri" w:hAnsiTheme="minorHAnsi" w:cs="Calibri"/>
          <w:sz w:val="24"/>
          <w:szCs w:val="24"/>
        </w:rPr>
        <w:t>mil.kn,</w:t>
      </w:r>
      <w:r w:rsidR="007062B2">
        <w:rPr>
          <w:rFonts w:asciiTheme="minorHAnsi" w:eastAsia="Calibri" w:hAnsiTheme="minorHAnsi" w:cs="Calibri"/>
          <w:sz w:val="24"/>
          <w:szCs w:val="24"/>
        </w:rPr>
        <w:t xml:space="preserve"> 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javnih površina  </w:t>
      </w:r>
      <w:r w:rsidR="007062B2">
        <w:rPr>
          <w:rFonts w:asciiTheme="minorHAnsi" w:eastAsia="Calibri" w:hAnsiTheme="minorHAnsi" w:cs="Calibri"/>
          <w:sz w:val="24"/>
          <w:szCs w:val="24"/>
        </w:rPr>
        <w:t>1.5</w:t>
      </w:r>
      <w:r w:rsidRPr="005563FB">
        <w:rPr>
          <w:rFonts w:asciiTheme="minorHAnsi" w:eastAsia="Calibri" w:hAnsiTheme="minorHAnsi" w:cs="Calibri"/>
          <w:sz w:val="24"/>
          <w:szCs w:val="24"/>
        </w:rPr>
        <w:t>00.000,00 kn, te</w:t>
      </w:r>
      <w:r w:rsidR="007062B2">
        <w:rPr>
          <w:rFonts w:asciiTheme="minorHAnsi" w:eastAsia="Calibri" w:hAnsiTheme="minorHAnsi" w:cs="Calibri"/>
          <w:sz w:val="24"/>
          <w:szCs w:val="24"/>
        </w:rPr>
        <w:t xml:space="preserve"> 700.000 kn za nerazvrstane ceste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</w:p>
    <w:p w14:paraId="7FE71A92" w14:textId="77777777" w:rsidR="005563FB" w:rsidRPr="005563FB" w:rsidRDefault="005563FB" w:rsidP="005563FB">
      <w:pPr>
        <w:spacing w:after="0"/>
        <w:rPr>
          <w:rFonts w:asciiTheme="minorHAnsi" w:eastAsia="Calibri" w:hAnsiTheme="minorHAnsi" w:cs="Calibri"/>
          <w:b/>
          <w:bCs/>
          <w:sz w:val="24"/>
          <w:szCs w:val="24"/>
        </w:rPr>
      </w:pPr>
    </w:p>
    <w:p w14:paraId="5FF3557D" w14:textId="77777777" w:rsidR="005563FB" w:rsidRPr="005563FB" w:rsidRDefault="005563FB" w:rsidP="005563FB">
      <w:pPr>
        <w:spacing w:after="0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Postrojenja i oprema- 422</w:t>
      </w:r>
    </w:p>
    <w:p w14:paraId="15237F65" w14:textId="438131BF" w:rsid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Planirani su u iznosu od </w:t>
      </w:r>
      <w:r w:rsidRPr="005563FB">
        <w:rPr>
          <w:color w:val="000000"/>
          <w:sz w:val="24"/>
          <w:szCs w:val="24"/>
          <w:lang w:eastAsia="hr-HR"/>
        </w:rPr>
        <w:t>6.</w:t>
      </w:r>
      <w:r w:rsidR="006603BB">
        <w:rPr>
          <w:color w:val="000000"/>
          <w:sz w:val="24"/>
          <w:szCs w:val="24"/>
          <w:lang w:eastAsia="hr-HR"/>
        </w:rPr>
        <w:t>180</w:t>
      </w:r>
      <w:r w:rsidRPr="005563FB">
        <w:rPr>
          <w:color w:val="000000"/>
          <w:sz w:val="24"/>
          <w:szCs w:val="24"/>
          <w:lang w:eastAsia="hr-HR"/>
        </w:rPr>
        <w:t>.</w:t>
      </w:r>
      <w:r w:rsidR="006603BB">
        <w:rPr>
          <w:color w:val="000000"/>
          <w:sz w:val="24"/>
          <w:szCs w:val="24"/>
          <w:lang w:eastAsia="hr-HR"/>
        </w:rPr>
        <w:t>3</w:t>
      </w:r>
      <w:r w:rsidRPr="005563FB">
        <w:rPr>
          <w:color w:val="000000"/>
          <w:sz w:val="24"/>
          <w:szCs w:val="24"/>
          <w:lang w:eastAsia="hr-HR"/>
        </w:rPr>
        <w:t>00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kuna i odnose se na rashode za nabavku opreme i to za potrebe gradske uprave i korisnika, kao što su nabavka nadzornih kamera, sportske opreme, računalne opreme, mobilnih spremnika za otpad, nabavka bicikli 2,1 mil kn u EU projektu, te za djelatnost pogona - održavanje groblja, rasvjete, tržnica na malo i javnih površina.</w:t>
      </w:r>
    </w:p>
    <w:p w14:paraId="4E5E5583" w14:textId="77777777" w:rsidR="00AE093F" w:rsidRDefault="00AE093F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248"/>
        <w:gridCol w:w="992"/>
        <w:gridCol w:w="1140"/>
        <w:gridCol w:w="986"/>
        <w:gridCol w:w="1000"/>
        <w:gridCol w:w="850"/>
      </w:tblGrid>
      <w:tr w:rsidR="00AE093F" w:rsidRPr="00AE093F" w14:paraId="4AD8BAE1" w14:textId="77777777" w:rsidTr="00AE093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6FA7DCF" w14:textId="77777777" w:rsidR="00AE093F" w:rsidRPr="00AE093F" w:rsidRDefault="00AE093F" w:rsidP="00AE093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2B93215" w14:textId="77777777" w:rsidR="00AE093F" w:rsidRPr="00AE093F" w:rsidRDefault="00AE093F" w:rsidP="00AE093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C33F32" w14:textId="77777777" w:rsidR="00AE093F" w:rsidRPr="00AE093F" w:rsidRDefault="00AE093F" w:rsidP="00AE093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b/>
                <w:bCs/>
                <w:sz w:val="18"/>
                <w:szCs w:val="18"/>
                <w:lang w:eastAsia="hr-HR"/>
              </w:rPr>
              <w:t>Razlika 2022-2021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5C4CD5" w14:textId="77777777" w:rsidR="00AE093F" w:rsidRPr="00AE093F" w:rsidRDefault="00AE093F" w:rsidP="00AE093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FC8841" w14:textId="77777777" w:rsidR="00AE093F" w:rsidRPr="00AE093F" w:rsidRDefault="00AE093F" w:rsidP="00AE093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040FA4" w14:textId="77777777" w:rsidR="00AE093F" w:rsidRPr="00AE093F" w:rsidRDefault="00AE093F" w:rsidP="00AE093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b/>
                <w:bCs/>
                <w:sz w:val="18"/>
                <w:szCs w:val="18"/>
                <w:lang w:eastAsia="hr-HR"/>
              </w:rPr>
              <w:t>Udjel 2022.</w:t>
            </w:r>
          </w:p>
        </w:tc>
      </w:tr>
      <w:tr w:rsidR="00AE093F" w:rsidRPr="00AE093F" w14:paraId="611A80FC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1B55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Rashodi javne uprave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84A9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401B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120.000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1743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170.000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3BCE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340,00%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3F34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2,75%</w:t>
            </w:r>
          </w:p>
        </w:tc>
      </w:tr>
      <w:tr w:rsidR="00AE093F" w:rsidRPr="00AE093F" w14:paraId="5C43A38E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2E3E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Rashodi informatičkog sustava i javne nabave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F38A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177.900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C800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-177.900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A429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6BA0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8B79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AE093F" w:rsidRPr="00AE093F" w14:paraId="4CC26A9D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6F81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7771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D9C9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-30.000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9C2F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7855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5D1A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AE093F" w:rsidRPr="00AE093F" w14:paraId="557ACEE2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DD67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DJEČJI VRTIĆ "KAŠTELA"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A67D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530.000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DCBA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120.000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CB2C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650.000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3DB5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122,64%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4A14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10,52%</w:t>
            </w:r>
          </w:p>
        </w:tc>
      </w:tr>
      <w:tr w:rsidR="00AE093F" w:rsidRPr="00AE093F" w14:paraId="05692F53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AA56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9735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72.000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B0A8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63.300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0629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135.300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004D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187,92%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66A8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2,19%</w:t>
            </w:r>
          </w:p>
        </w:tc>
      </w:tr>
      <w:tr w:rsidR="00AE093F" w:rsidRPr="00AE093F" w14:paraId="601D268D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3308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Gradska knjižnica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965F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38.000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7388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22.000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0B02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4D6E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157,89%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388C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0,97%</w:t>
            </w:r>
          </w:p>
        </w:tc>
      </w:tr>
      <w:tr w:rsidR="00AE093F" w:rsidRPr="00AE093F" w14:paraId="369AB165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EB4D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Ustanova športa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E162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4279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-10.000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D593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8.000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5C64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44,44%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4910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0,13%</w:t>
            </w:r>
          </w:p>
        </w:tc>
      </w:tr>
      <w:tr w:rsidR="00AE093F" w:rsidRPr="00AE093F" w14:paraId="2BA212CD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4D93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Civilna zaštita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F118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06C0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D634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7CCD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C499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0,32%</w:t>
            </w:r>
          </w:p>
        </w:tc>
      </w:tr>
      <w:tr w:rsidR="00AE093F" w:rsidRPr="00AE093F" w14:paraId="62FFA16D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07A3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Javna vatrogasna postrojba Grada Kaštela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9E6E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160.000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ADDC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-160.000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D133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6A2B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C8E5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AE093F" w:rsidRPr="00AE093F" w14:paraId="1C82C9F8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C132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5289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380.000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3486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995.000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E1F4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1.375.000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2F59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361,84%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3DC6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22,25%</w:t>
            </w:r>
          </w:p>
        </w:tc>
      </w:tr>
      <w:tr w:rsidR="00AE093F" w:rsidRPr="00AE093F" w14:paraId="597B01F6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FE71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Projekt Skriveni habitati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1C9A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220.200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1AD5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4.800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43E2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225.000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FB29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102,18%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275E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3,64%</w:t>
            </w:r>
          </w:p>
        </w:tc>
      </w:tr>
      <w:tr w:rsidR="00AE093F" w:rsidRPr="00AE093F" w14:paraId="160C1720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18C7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Projekt UNDERWATER MUSE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760B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140.000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3F1E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-40.000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2170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A0BA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71,43%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CDA5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1,62%</w:t>
            </w:r>
          </w:p>
        </w:tc>
      </w:tr>
      <w:tr w:rsidR="00AE093F" w:rsidRPr="00AE093F" w14:paraId="41B3398F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D48E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Projekt 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32AF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160.000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6161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-160.000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9F2E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727E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09E4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AE093F" w:rsidRPr="00AE093F" w14:paraId="4303132B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F29A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Projekt City Bike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B4A4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2.100.000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E859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600B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2.100.000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6B4E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32A0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33,98%</w:t>
            </w:r>
          </w:p>
        </w:tc>
      </w:tr>
      <w:tr w:rsidR="00AE093F" w:rsidRPr="00AE093F" w14:paraId="4A6264E8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39CD" w14:textId="72B9EE11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Projekt izvaninstitucionalne skrbi -ITU mehanizmi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5DDD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400.000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D2D0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-400.000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1BC7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6D31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F113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AE093F" w:rsidRPr="00AE093F" w14:paraId="7C1ED401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EDA0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Izgradnja reciklažnog dvorišta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E8B2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B8C6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-300.000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620A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F8DE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3152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AE093F" w:rsidRPr="00AE093F" w14:paraId="2CD79C74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1390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Nabava dugotrajne imovine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560D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297.000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0949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-160.000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2A30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137.000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1FCB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46,13%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9CF8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2,22%</w:t>
            </w:r>
          </w:p>
        </w:tc>
      </w:tr>
      <w:tr w:rsidR="00AE093F" w:rsidRPr="00AE093F" w14:paraId="1980BD02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D71E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96F4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395.000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EE8D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-395.000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5DE2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6599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3E6E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AE093F" w:rsidRPr="00AE093F" w14:paraId="127B6FD2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C54C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F110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E7C7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859A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2349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8628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0,81%</w:t>
            </w:r>
          </w:p>
        </w:tc>
      </w:tr>
      <w:tr w:rsidR="00AE093F" w:rsidRPr="00AE093F" w14:paraId="24E7998B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831D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AF5F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C66D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0145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53FD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D2ED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0,49%</w:t>
            </w:r>
          </w:p>
        </w:tc>
      </w:tr>
      <w:tr w:rsidR="00AE093F" w:rsidRPr="00AE093F" w14:paraId="3AF8F39E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30B7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Održavanje sustava za oborinsku odvodnju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BC0E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1F87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71F5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9DD7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3924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0,32%</w:t>
            </w:r>
          </w:p>
        </w:tc>
      </w:tr>
      <w:tr w:rsidR="00AE093F" w:rsidRPr="00AE093F" w14:paraId="7683D85B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D08F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Održavanje javnih  površina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E7D3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900.000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5673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-300.000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80F3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600.000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B7D5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66,67%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19C8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9,71%</w:t>
            </w:r>
          </w:p>
        </w:tc>
      </w:tr>
      <w:tr w:rsidR="00AE093F" w:rsidRPr="00AE093F" w14:paraId="29EC89C4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1EEF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Komunalno redarstvo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4AC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B01F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75FE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7E38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083B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color w:val="000000"/>
                <w:sz w:val="18"/>
                <w:szCs w:val="18"/>
                <w:lang w:eastAsia="hr-HR"/>
              </w:rPr>
              <w:t>8,09%</w:t>
            </w:r>
          </w:p>
        </w:tc>
      </w:tr>
      <w:tr w:rsidR="00AE093F" w:rsidRPr="00AE093F" w14:paraId="73CCEFE5" w14:textId="77777777" w:rsidTr="00AE09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26DDEDF" w14:textId="77777777" w:rsidR="00AE093F" w:rsidRPr="00AE093F" w:rsidRDefault="00AE093F" w:rsidP="00AE093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0BF377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b/>
                <w:bCs/>
                <w:sz w:val="18"/>
                <w:szCs w:val="18"/>
                <w:lang w:eastAsia="hr-HR"/>
              </w:rPr>
              <w:t>6.988.100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881024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b/>
                <w:bCs/>
                <w:sz w:val="18"/>
                <w:szCs w:val="18"/>
                <w:lang w:eastAsia="hr-HR"/>
              </w:rPr>
              <w:t>-807.800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BE03549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b/>
                <w:bCs/>
                <w:sz w:val="18"/>
                <w:szCs w:val="18"/>
                <w:lang w:eastAsia="hr-HR"/>
              </w:rPr>
              <w:t>6.180.300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68DCE7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b/>
                <w:bCs/>
                <w:sz w:val="18"/>
                <w:szCs w:val="18"/>
                <w:lang w:eastAsia="hr-HR"/>
              </w:rPr>
              <w:t>88,44%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EF6A46" w14:textId="77777777" w:rsidR="00AE093F" w:rsidRPr="00AE093F" w:rsidRDefault="00AE093F" w:rsidP="00AE093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AE093F">
              <w:rPr>
                <w:rFonts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6C89BD42" w14:textId="7B2E71C0" w:rsidR="00AE093F" w:rsidRPr="00AE093F" w:rsidRDefault="00AE093F" w:rsidP="005563FB">
      <w:pPr>
        <w:spacing w:after="0"/>
        <w:jc w:val="both"/>
        <w:rPr>
          <w:rFonts w:asciiTheme="minorHAnsi" w:eastAsia="Calibri" w:hAnsiTheme="minorHAnsi" w:cs="Calibri"/>
          <w:sz w:val="18"/>
          <w:szCs w:val="18"/>
        </w:rPr>
      </w:pPr>
    </w:p>
    <w:p w14:paraId="647D44CE" w14:textId="77777777" w:rsidR="005563FB" w:rsidRPr="005563FB" w:rsidRDefault="005563FB" w:rsidP="005563FB">
      <w:pPr>
        <w:spacing w:after="0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Prijevozna sredstva- 423</w:t>
      </w:r>
    </w:p>
    <w:p w14:paraId="34C58E3E" w14:textId="53A61C98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Planirana su u iznosu od 1.</w:t>
      </w:r>
      <w:r w:rsidR="00AE093F">
        <w:rPr>
          <w:rFonts w:asciiTheme="minorHAnsi" w:eastAsia="Calibri" w:hAnsiTheme="minorHAnsi" w:cs="Calibri"/>
          <w:sz w:val="24"/>
          <w:szCs w:val="24"/>
        </w:rPr>
        <w:t>698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.750 kn za nabavku </w:t>
      </w:r>
      <w:r w:rsidR="00AE093F">
        <w:rPr>
          <w:rFonts w:asciiTheme="minorHAnsi" w:eastAsia="Calibri" w:hAnsiTheme="minorHAnsi" w:cs="Calibri"/>
          <w:sz w:val="24"/>
          <w:szCs w:val="24"/>
        </w:rPr>
        <w:t xml:space="preserve">prijevoznih sredstava 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za  </w:t>
      </w:r>
      <w:r w:rsidR="00AE093F">
        <w:rPr>
          <w:rFonts w:asciiTheme="minorHAnsi" w:eastAsia="Calibri" w:hAnsiTheme="minorHAnsi" w:cs="Calibri"/>
          <w:sz w:val="24"/>
          <w:szCs w:val="24"/>
        </w:rPr>
        <w:t>Vrtić (180.000 kn)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te raznih vozila (kamion, kombi, …) za potrebe Vlastitog pogona.</w:t>
      </w:r>
    </w:p>
    <w:p w14:paraId="19EEC096" w14:textId="7777777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775EE8B8" w14:textId="77777777" w:rsidR="005563FB" w:rsidRPr="005563FB" w:rsidRDefault="005563FB" w:rsidP="005563FB">
      <w:pPr>
        <w:spacing w:after="0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b/>
          <w:color w:val="000000"/>
          <w:sz w:val="24"/>
          <w:szCs w:val="24"/>
          <w:lang w:eastAsia="hr-HR"/>
        </w:rPr>
        <w:t>Knjige, umjetnička djela i ostale izložbene vrijednosti</w:t>
      </w: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 xml:space="preserve"> - 424</w:t>
      </w:r>
    </w:p>
    <w:p w14:paraId="0F12DDD2" w14:textId="355FDF38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Planirana su u iznosu od 3</w:t>
      </w:r>
      <w:r w:rsidR="00AE093F">
        <w:rPr>
          <w:rFonts w:asciiTheme="minorHAnsi" w:eastAsia="Calibri" w:hAnsiTheme="minorHAnsi" w:cs="Calibri"/>
          <w:sz w:val="24"/>
          <w:szCs w:val="24"/>
        </w:rPr>
        <w:t>72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  <w:r w:rsidR="00AE093F">
        <w:rPr>
          <w:rFonts w:asciiTheme="minorHAnsi" w:eastAsia="Calibri" w:hAnsiTheme="minorHAnsi" w:cs="Calibri"/>
          <w:sz w:val="24"/>
          <w:szCs w:val="24"/>
        </w:rPr>
        <w:t>0</w:t>
      </w:r>
      <w:r w:rsidRPr="005563FB">
        <w:rPr>
          <w:rFonts w:asciiTheme="minorHAnsi" w:eastAsia="Calibri" w:hAnsiTheme="minorHAnsi" w:cs="Calibri"/>
          <w:sz w:val="24"/>
          <w:szCs w:val="24"/>
        </w:rPr>
        <w:t>00 kn za potrebe proračunskih korisnika.</w:t>
      </w:r>
    </w:p>
    <w:p w14:paraId="61D4883F" w14:textId="7777777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317BB340" w14:textId="77777777" w:rsidR="005563FB" w:rsidRPr="005563FB" w:rsidRDefault="005563FB" w:rsidP="005563FB">
      <w:pPr>
        <w:spacing w:after="0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Nematerijalna proizvedena imovina- 426</w:t>
      </w:r>
    </w:p>
    <w:p w14:paraId="71987A56" w14:textId="42F6791B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>Planirano je 1.</w:t>
      </w:r>
      <w:r w:rsidR="00AE093F">
        <w:rPr>
          <w:rFonts w:asciiTheme="minorHAnsi" w:eastAsia="Calibri" w:hAnsiTheme="minorHAnsi" w:cs="Calibri"/>
          <w:sz w:val="24"/>
          <w:szCs w:val="24"/>
        </w:rPr>
        <w:t>147</w:t>
      </w:r>
      <w:r w:rsidRPr="005563FB">
        <w:rPr>
          <w:rFonts w:asciiTheme="minorHAnsi" w:eastAsia="Calibri" w:hAnsiTheme="minorHAnsi" w:cs="Calibri"/>
          <w:sz w:val="24"/>
          <w:szCs w:val="24"/>
        </w:rPr>
        <w:t>.</w:t>
      </w:r>
      <w:r w:rsidR="00AE093F">
        <w:rPr>
          <w:rFonts w:asciiTheme="minorHAnsi" w:eastAsia="Calibri" w:hAnsiTheme="minorHAnsi" w:cs="Calibri"/>
          <w:sz w:val="24"/>
          <w:szCs w:val="24"/>
        </w:rPr>
        <w:t>5</w:t>
      </w:r>
      <w:r w:rsidRPr="005563FB">
        <w:rPr>
          <w:rFonts w:asciiTheme="minorHAnsi" w:eastAsia="Calibri" w:hAnsiTheme="minorHAnsi" w:cs="Calibri"/>
          <w:sz w:val="24"/>
          <w:szCs w:val="24"/>
        </w:rPr>
        <w:t>00,00 kn mil kn za potreba izrade urbanističkih planova, planova u zaštiti okoliša te ulaganja u računalne programe gradske uprave i korisnika.</w:t>
      </w:r>
    </w:p>
    <w:p w14:paraId="019A1827" w14:textId="7777777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0F9D3AA8" w14:textId="7777777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1DDFF223" w14:textId="77777777" w:rsidR="005563FB" w:rsidRPr="005563FB" w:rsidRDefault="005563FB" w:rsidP="005563FB">
      <w:pPr>
        <w:spacing w:after="0"/>
        <w:ind w:firstLine="708"/>
        <w:jc w:val="both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Rashodi za dodatna ulaganja na nefinancijskoj imovini  45</w:t>
      </w:r>
    </w:p>
    <w:p w14:paraId="3358E30C" w14:textId="1DDC975D" w:rsid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Planiraju se u iznosu od </w:t>
      </w:r>
      <w:r w:rsidRPr="005563FB">
        <w:rPr>
          <w:color w:val="000000"/>
          <w:sz w:val="24"/>
          <w:szCs w:val="24"/>
          <w:lang w:eastAsia="hr-HR"/>
        </w:rPr>
        <w:t>1</w:t>
      </w:r>
      <w:r w:rsidR="00AE093F">
        <w:rPr>
          <w:color w:val="000000"/>
          <w:sz w:val="24"/>
          <w:szCs w:val="24"/>
          <w:lang w:eastAsia="hr-HR"/>
        </w:rPr>
        <w:t>1</w:t>
      </w:r>
      <w:r w:rsidRPr="005563FB">
        <w:rPr>
          <w:color w:val="000000"/>
          <w:sz w:val="24"/>
          <w:szCs w:val="24"/>
          <w:lang w:eastAsia="hr-HR"/>
        </w:rPr>
        <w:t>.</w:t>
      </w:r>
      <w:r w:rsidR="00AE093F">
        <w:rPr>
          <w:color w:val="000000"/>
          <w:sz w:val="24"/>
          <w:szCs w:val="24"/>
          <w:lang w:eastAsia="hr-HR"/>
        </w:rPr>
        <w:t>82</w:t>
      </w:r>
      <w:r w:rsidRPr="005563FB">
        <w:rPr>
          <w:color w:val="000000"/>
          <w:sz w:val="24"/>
          <w:szCs w:val="24"/>
          <w:lang w:eastAsia="hr-HR"/>
        </w:rPr>
        <w:t>0.000,00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kuna, a odnose se na dodatna ulaganja u sklopu izgradnje nerazvrstanih cesta (</w:t>
      </w:r>
      <w:r w:rsidR="00B10F3F">
        <w:rPr>
          <w:rFonts w:asciiTheme="minorHAnsi" w:eastAsia="Calibri" w:hAnsiTheme="minorHAnsi" w:cs="Calibri"/>
          <w:sz w:val="24"/>
          <w:szCs w:val="24"/>
        </w:rPr>
        <w:t>7</w:t>
      </w:r>
      <w:r w:rsidRPr="005563FB">
        <w:rPr>
          <w:rFonts w:asciiTheme="minorHAnsi" w:eastAsia="Calibri" w:hAnsiTheme="minorHAnsi" w:cs="Calibri"/>
          <w:sz w:val="24"/>
          <w:szCs w:val="24"/>
        </w:rPr>
        <w:t>,</w:t>
      </w:r>
      <w:r w:rsidR="00B10F3F">
        <w:rPr>
          <w:rFonts w:asciiTheme="minorHAnsi" w:eastAsia="Calibri" w:hAnsiTheme="minorHAnsi" w:cs="Calibri"/>
          <w:sz w:val="24"/>
          <w:szCs w:val="24"/>
        </w:rPr>
        <w:t>1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mil.kn,), </w:t>
      </w:r>
      <w:r w:rsidR="005E2A63">
        <w:rPr>
          <w:rFonts w:asciiTheme="minorHAnsi" w:eastAsia="Calibri" w:hAnsiTheme="minorHAnsi" w:cs="Calibri"/>
          <w:sz w:val="24"/>
          <w:szCs w:val="24"/>
        </w:rPr>
        <w:t>izgradnje gradskih objekata (3,9 mil kn)  i drugo.</w:t>
      </w:r>
    </w:p>
    <w:p w14:paraId="4D9133F9" w14:textId="5683AE73" w:rsidR="00B10F3F" w:rsidRDefault="00B10F3F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</w:p>
    <w:tbl>
      <w:tblPr>
        <w:tblW w:w="9408" w:type="dxa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1042"/>
        <w:gridCol w:w="1000"/>
        <w:gridCol w:w="850"/>
      </w:tblGrid>
      <w:tr w:rsidR="00B10F3F" w:rsidRPr="00B10F3F" w14:paraId="381B2995" w14:textId="77777777" w:rsidTr="00B10F3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48BC466" w14:textId="77777777" w:rsidR="00B10F3F" w:rsidRPr="00B10F3F" w:rsidRDefault="00B10F3F" w:rsidP="00B10F3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FA5A45" w14:textId="77777777" w:rsidR="00B10F3F" w:rsidRPr="00B10F3F" w:rsidRDefault="00B10F3F" w:rsidP="00B10F3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65BB0A" w14:textId="77777777" w:rsidR="00B10F3F" w:rsidRPr="00B10F3F" w:rsidRDefault="00B10F3F" w:rsidP="00B10F3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b/>
                <w:bCs/>
                <w:sz w:val="18"/>
                <w:szCs w:val="18"/>
                <w:lang w:eastAsia="hr-HR"/>
              </w:rPr>
              <w:t>Razlika 2022-2021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C574C2" w14:textId="77777777" w:rsidR="00B10F3F" w:rsidRPr="00B10F3F" w:rsidRDefault="00B10F3F" w:rsidP="00B10F3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b/>
                <w:bCs/>
                <w:sz w:val="18"/>
                <w:szCs w:val="18"/>
                <w:lang w:eastAsia="hr-HR"/>
              </w:rPr>
              <w:t>Plan 2022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1CEF59" w14:textId="77777777" w:rsidR="00B10F3F" w:rsidRPr="00B10F3F" w:rsidRDefault="00B10F3F" w:rsidP="00B10F3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16FE01" w14:textId="77777777" w:rsidR="00B10F3F" w:rsidRPr="00B10F3F" w:rsidRDefault="00B10F3F" w:rsidP="00B10F3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b/>
                <w:bCs/>
                <w:sz w:val="18"/>
                <w:szCs w:val="18"/>
                <w:lang w:eastAsia="hr-HR"/>
              </w:rPr>
              <w:t>Udjel 2022.</w:t>
            </w:r>
          </w:p>
        </w:tc>
      </w:tr>
      <w:tr w:rsidR="00B10F3F" w:rsidRPr="00B10F3F" w14:paraId="4B72F30C" w14:textId="77777777" w:rsidTr="00B10F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FBF8" w14:textId="77777777" w:rsidR="00B10F3F" w:rsidRPr="00B10F3F" w:rsidRDefault="00B10F3F" w:rsidP="00B10F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Rashodi javne uprave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0D78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8D29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2C32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4CE3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6853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0,17%</w:t>
            </w:r>
          </w:p>
        </w:tc>
      </w:tr>
      <w:tr w:rsidR="00B10F3F" w:rsidRPr="00B10F3F" w14:paraId="60150C6F" w14:textId="77777777" w:rsidTr="00B10F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E45C" w14:textId="77777777" w:rsidR="00B10F3F" w:rsidRPr="00B10F3F" w:rsidRDefault="00B10F3F" w:rsidP="00B10F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Rashodi informatičkog sustava i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5E77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A1D2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-20.000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BDAC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BCC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A28F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B10F3F" w:rsidRPr="00B10F3F" w14:paraId="6FA5C5E4" w14:textId="77777777" w:rsidTr="00B10F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D8EA" w14:textId="77777777" w:rsidR="00B10F3F" w:rsidRPr="00B10F3F" w:rsidRDefault="00B10F3F" w:rsidP="00B10F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53A3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4.300.000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6AC1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-4.200.000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6673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18AC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2,33%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88F4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0,85%</w:t>
            </w:r>
          </w:p>
        </w:tc>
      </w:tr>
      <w:tr w:rsidR="00B10F3F" w:rsidRPr="00B10F3F" w14:paraId="741A11A1" w14:textId="77777777" w:rsidTr="00B10F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A015" w14:textId="77777777" w:rsidR="00B10F3F" w:rsidRPr="00B10F3F" w:rsidRDefault="00B10F3F" w:rsidP="00B10F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20F7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9.800.000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8DAE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-2.700.000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200F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7.100.000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9CBD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72,45%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ED4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60,07%</w:t>
            </w:r>
          </w:p>
        </w:tc>
      </w:tr>
      <w:tr w:rsidR="00B10F3F" w:rsidRPr="00B10F3F" w14:paraId="19C7AF96" w14:textId="77777777" w:rsidTr="00B10F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4CCB" w14:textId="77777777" w:rsidR="00B10F3F" w:rsidRPr="00B10F3F" w:rsidRDefault="00B10F3F" w:rsidP="00B10F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D29A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750.000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2307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-270.000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AF84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480.000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2AFB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64,00%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925C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4,06%</w:t>
            </w:r>
          </w:p>
        </w:tc>
      </w:tr>
      <w:tr w:rsidR="00B10F3F" w:rsidRPr="00B10F3F" w14:paraId="0C7B51B9" w14:textId="77777777" w:rsidTr="00B10F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D101" w14:textId="77777777" w:rsidR="00B10F3F" w:rsidRPr="00B10F3F" w:rsidRDefault="00B10F3F" w:rsidP="00B10F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Projekt 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E016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845.000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AC32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-735.000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CBE9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8A00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13,02%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1278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0,93%</w:t>
            </w:r>
          </w:p>
        </w:tc>
      </w:tr>
      <w:tr w:rsidR="00B10F3F" w:rsidRPr="00B10F3F" w14:paraId="329C281B" w14:textId="77777777" w:rsidTr="00B10F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EEA9" w14:textId="77777777" w:rsidR="00B10F3F" w:rsidRPr="00B10F3F" w:rsidRDefault="00B10F3F" w:rsidP="00B10F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Nabava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BC09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7BCF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-50.000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AC89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D2D2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66,67%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8DF8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0,85%</w:t>
            </w:r>
          </w:p>
        </w:tc>
      </w:tr>
      <w:tr w:rsidR="00B10F3F" w:rsidRPr="00B10F3F" w14:paraId="73092576" w14:textId="77777777" w:rsidTr="00B10F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5273" w14:textId="77777777" w:rsidR="00B10F3F" w:rsidRPr="00B10F3F" w:rsidRDefault="00B10F3F" w:rsidP="00B10F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Upravljanje poslovnim i stambenim prostorima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D9EC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0BE6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563E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3A46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80A7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0,08%</w:t>
            </w:r>
          </w:p>
        </w:tc>
      </w:tr>
      <w:tr w:rsidR="00B10F3F" w:rsidRPr="00B10F3F" w14:paraId="50456DEC" w14:textId="77777777" w:rsidTr="00B10F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12CF" w14:textId="77777777" w:rsidR="00B10F3F" w:rsidRPr="00B10F3F" w:rsidRDefault="00B10F3F" w:rsidP="00B10F3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Izgradnja gradskih objekata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722E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3.400.000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2686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DE64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3.900.000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5188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114,71%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B8E1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color w:val="000000"/>
                <w:sz w:val="18"/>
                <w:szCs w:val="18"/>
                <w:lang w:eastAsia="hr-HR"/>
              </w:rPr>
              <w:t>32,99%</w:t>
            </w:r>
          </w:p>
        </w:tc>
      </w:tr>
      <w:tr w:rsidR="00B10F3F" w:rsidRPr="00B10F3F" w14:paraId="5AC3B016" w14:textId="77777777" w:rsidTr="00B10F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96DCF1" w14:textId="77777777" w:rsidR="00B10F3F" w:rsidRPr="00B10F3F" w:rsidRDefault="00B10F3F" w:rsidP="00B10F3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A6B3BC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b/>
                <w:bCs/>
                <w:sz w:val="18"/>
                <w:szCs w:val="18"/>
                <w:lang w:eastAsia="hr-HR"/>
              </w:rPr>
              <w:t>19.275.000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64A1740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b/>
                <w:bCs/>
                <w:sz w:val="18"/>
                <w:szCs w:val="18"/>
                <w:lang w:eastAsia="hr-HR"/>
              </w:rPr>
              <w:t>-7.455.000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6AD7ED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b/>
                <w:bCs/>
                <w:sz w:val="18"/>
                <w:szCs w:val="18"/>
                <w:lang w:eastAsia="hr-HR"/>
              </w:rPr>
              <w:t>11.820.000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EA8B98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b/>
                <w:bCs/>
                <w:sz w:val="18"/>
                <w:szCs w:val="18"/>
                <w:lang w:eastAsia="hr-HR"/>
              </w:rPr>
              <w:t>61,32%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FA20A9" w14:textId="77777777" w:rsidR="00B10F3F" w:rsidRPr="00B10F3F" w:rsidRDefault="00B10F3F" w:rsidP="00B10F3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  <w:lang w:eastAsia="hr-HR"/>
              </w:rPr>
            </w:pPr>
            <w:r w:rsidRPr="00B10F3F">
              <w:rPr>
                <w:rFonts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14C84733" w14:textId="77777777" w:rsidR="00B10F3F" w:rsidRPr="00B10F3F" w:rsidRDefault="00B10F3F" w:rsidP="005563FB">
      <w:pPr>
        <w:spacing w:after="0"/>
        <w:jc w:val="both"/>
        <w:rPr>
          <w:rFonts w:asciiTheme="minorHAnsi" w:eastAsia="Calibri" w:hAnsiTheme="minorHAnsi" w:cs="Calibri"/>
          <w:sz w:val="18"/>
          <w:szCs w:val="18"/>
        </w:rPr>
      </w:pPr>
    </w:p>
    <w:p w14:paraId="185E7467" w14:textId="7777777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0"/>
          <w:szCs w:val="20"/>
        </w:rPr>
      </w:pPr>
    </w:p>
    <w:p w14:paraId="7AA4646A" w14:textId="77777777" w:rsidR="005563FB" w:rsidRPr="005563FB" w:rsidRDefault="005563FB" w:rsidP="005563FB">
      <w:pPr>
        <w:spacing w:after="0"/>
        <w:ind w:firstLine="708"/>
        <w:jc w:val="both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5563FB">
        <w:rPr>
          <w:rFonts w:asciiTheme="minorHAnsi" w:eastAsia="Calibri" w:hAnsiTheme="minorHAnsi" w:cs="Calibri"/>
          <w:b/>
          <w:bCs/>
          <w:sz w:val="24"/>
          <w:szCs w:val="24"/>
        </w:rPr>
        <w:t>Izdaci za otplatu glavnice primljenih kredita i zajmova 54</w:t>
      </w:r>
    </w:p>
    <w:p w14:paraId="0FAD1DEA" w14:textId="7777777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0"/>
          <w:szCs w:val="20"/>
        </w:rPr>
      </w:pPr>
    </w:p>
    <w:p w14:paraId="7F614098" w14:textId="63C60714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Planira se u iznosu od </w:t>
      </w:r>
      <w:r w:rsidR="007B34C8">
        <w:rPr>
          <w:rFonts w:asciiTheme="minorHAnsi" w:eastAsia="Calibri" w:hAnsiTheme="minorHAnsi" w:cs="Calibri"/>
          <w:sz w:val="24"/>
          <w:szCs w:val="24"/>
        </w:rPr>
        <w:t>7,8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mil.kuna i to za otplatu beskamatnog zajma od RH .</w:t>
      </w:r>
    </w:p>
    <w:p w14:paraId="50F7F5F6" w14:textId="77777777" w:rsidR="005563FB" w:rsidRPr="005563FB" w:rsidRDefault="005563FB" w:rsidP="005563FB">
      <w:pPr>
        <w:spacing w:after="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53A3CA30" w14:textId="02BE87E0" w:rsidR="005563FB" w:rsidRDefault="005563FB" w:rsidP="005563FB">
      <w:pPr>
        <w:suppressAutoHyphens/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563FB">
        <w:rPr>
          <w:rFonts w:asciiTheme="minorHAnsi" w:eastAsia="Calibri" w:hAnsiTheme="minorHAnsi" w:cs="Calibri"/>
          <w:sz w:val="24"/>
          <w:szCs w:val="24"/>
        </w:rPr>
        <w:t xml:space="preserve">Detaljnije obrazloženje </w:t>
      </w:r>
      <w:r w:rsidR="00603415" w:rsidRPr="005563FB">
        <w:rPr>
          <w:rFonts w:asciiTheme="minorHAnsi" w:eastAsia="Calibri" w:hAnsiTheme="minorHAnsi" w:cs="Calibri"/>
          <w:sz w:val="24"/>
          <w:szCs w:val="24"/>
        </w:rPr>
        <w:t>pojedinih</w:t>
      </w:r>
      <w:r w:rsidRPr="005563FB">
        <w:rPr>
          <w:rFonts w:asciiTheme="minorHAnsi" w:eastAsia="Calibri" w:hAnsiTheme="minorHAnsi" w:cs="Calibri"/>
          <w:sz w:val="24"/>
          <w:szCs w:val="24"/>
        </w:rPr>
        <w:t xml:space="preserve"> rashoda se nalazi u programima Upravnih odjela.</w:t>
      </w:r>
    </w:p>
    <w:sectPr w:rsidR="005563FB" w:rsidSect="005563FB">
      <w:headerReference w:type="default" r:id="rId19"/>
      <w:footerReference w:type="default" r:id="rId20"/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92D0" w14:textId="77777777" w:rsidR="009A54F8" w:rsidRDefault="009A54F8" w:rsidP="00476B18">
      <w:pPr>
        <w:spacing w:after="0" w:line="240" w:lineRule="auto"/>
      </w:pPr>
      <w:r>
        <w:separator/>
      </w:r>
    </w:p>
  </w:endnote>
  <w:endnote w:type="continuationSeparator" w:id="0">
    <w:p w14:paraId="013534CD" w14:textId="77777777" w:rsidR="009A54F8" w:rsidRDefault="009A54F8" w:rsidP="0047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8" w:type="dxa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970"/>
      <w:gridCol w:w="8384"/>
    </w:tblGrid>
    <w:tr w:rsidR="00E967AA" w:rsidRPr="00CB0B45" w14:paraId="3F0E9036" w14:textId="77777777">
      <w:tc>
        <w:tcPr>
          <w:tcW w:w="918" w:type="dxa"/>
          <w:tcBorders>
            <w:top w:val="single" w:sz="18" w:space="0" w:color="808080"/>
            <w:right w:val="single" w:sz="18" w:space="0" w:color="808080"/>
          </w:tcBorders>
        </w:tcPr>
        <w:p w14:paraId="1B2BD1A9" w14:textId="77777777" w:rsidR="00E967AA" w:rsidRPr="00CB0B45" w:rsidRDefault="00E967AA">
          <w:pPr>
            <w:pStyle w:val="Podnoje"/>
            <w:jc w:val="right"/>
            <w:rPr>
              <w:b/>
              <w:color w:val="4F81BD"/>
              <w:sz w:val="16"/>
              <w:szCs w:val="32"/>
            </w:rPr>
          </w:pPr>
          <w:r w:rsidRPr="00CB0B45">
            <w:rPr>
              <w:sz w:val="16"/>
            </w:rPr>
            <w:fldChar w:fldCharType="begin"/>
          </w:r>
          <w:r w:rsidRPr="00CB0B45">
            <w:rPr>
              <w:sz w:val="16"/>
            </w:rPr>
            <w:instrText xml:space="preserve"> PAGE   \* MERGEFORMAT </w:instrText>
          </w:r>
          <w:r w:rsidRPr="00CB0B45">
            <w:rPr>
              <w:sz w:val="16"/>
            </w:rPr>
            <w:fldChar w:fldCharType="separate"/>
          </w:r>
          <w:r w:rsidRPr="00022885">
            <w:rPr>
              <w:b/>
              <w:noProof/>
              <w:color w:val="4F81BD"/>
              <w:sz w:val="16"/>
              <w:szCs w:val="32"/>
            </w:rPr>
            <w:t>1</w:t>
          </w:r>
          <w:r w:rsidRPr="00CB0B45">
            <w:rPr>
              <w:sz w:val="16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  <w:left w:val="single" w:sz="18" w:space="0" w:color="808080"/>
          </w:tcBorders>
        </w:tcPr>
        <w:p w14:paraId="7B1711B0" w14:textId="77777777" w:rsidR="00E967AA" w:rsidRPr="00CB0B45" w:rsidRDefault="00E967AA">
          <w:pPr>
            <w:pStyle w:val="Podnoje"/>
          </w:pPr>
        </w:p>
      </w:tc>
    </w:tr>
  </w:tbl>
  <w:p w14:paraId="2CBF4A73" w14:textId="77777777" w:rsidR="00E967AA" w:rsidRDefault="00E967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FB2B" w14:textId="77777777" w:rsidR="009A54F8" w:rsidRDefault="009A54F8" w:rsidP="00476B18">
      <w:pPr>
        <w:spacing w:after="0" w:line="240" w:lineRule="auto"/>
      </w:pPr>
      <w:r>
        <w:separator/>
      </w:r>
    </w:p>
  </w:footnote>
  <w:footnote w:type="continuationSeparator" w:id="0">
    <w:p w14:paraId="1E1B7957" w14:textId="77777777" w:rsidR="009A54F8" w:rsidRDefault="009A54F8" w:rsidP="0047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0693" w14:textId="1A6CA3B7" w:rsidR="00E967AA" w:rsidRPr="00476B18" w:rsidRDefault="00E967AA">
    <w:pPr>
      <w:pStyle w:val="Zaglavlje"/>
      <w:pBdr>
        <w:bottom w:val="thickThinSmallGap" w:sz="24" w:space="1" w:color="622423"/>
      </w:pBdr>
      <w:jc w:val="center"/>
      <w:rPr>
        <w:rFonts w:ascii="Cambria" w:hAnsi="Cambria"/>
        <w:sz w:val="16"/>
        <w:szCs w:val="32"/>
      </w:rPr>
    </w:pPr>
    <w:r w:rsidRPr="001C1390">
      <w:rPr>
        <w:rFonts w:ascii="Cambria" w:hAnsi="Cambria"/>
        <w:sz w:val="16"/>
        <w:szCs w:val="32"/>
      </w:rPr>
      <w:t>Obrazloženje prijedloga Proračuna Grada Kaštela za 202</w:t>
    </w:r>
    <w:r w:rsidR="006674F8">
      <w:rPr>
        <w:rFonts w:ascii="Cambria" w:hAnsi="Cambria"/>
        <w:sz w:val="16"/>
        <w:szCs w:val="32"/>
      </w:rPr>
      <w:t>2</w:t>
    </w:r>
    <w:r w:rsidRPr="001C1390">
      <w:rPr>
        <w:rFonts w:ascii="Cambria" w:hAnsi="Cambria"/>
        <w:sz w:val="16"/>
        <w:szCs w:val="32"/>
      </w:rPr>
      <w:t>.godinu i projekcije za 202</w:t>
    </w:r>
    <w:r w:rsidR="006674F8">
      <w:rPr>
        <w:rFonts w:ascii="Cambria" w:hAnsi="Cambria"/>
        <w:sz w:val="16"/>
        <w:szCs w:val="32"/>
      </w:rPr>
      <w:t>3</w:t>
    </w:r>
    <w:r w:rsidRPr="001C1390">
      <w:rPr>
        <w:rFonts w:ascii="Cambria" w:hAnsi="Cambria"/>
        <w:sz w:val="16"/>
        <w:szCs w:val="32"/>
      </w:rPr>
      <w:t>. i 202</w:t>
    </w:r>
    <w:r w:rsidR="006674F8">
      <w:rPr>
        <w:rFonts w:ascii="Cambria" w:hAnsi="Cambria"/>
        <w:sz w:val="16"/>
        <w:szCs w:val="32"/>
      </w:rPr>
      <w:t>4</w:t>
    </w:r>
    <w:r w:rsidRPr="001C1390">
      <w:rPr>
        <w:rFonts w:ascii="Cambria" w:hAnsi="Cambria"/>
        <w:sz w:val="16"/>
        <w:szCs w:val="32"/>
      </w:rPr>
      <w:t>.</w:t>
    </w:r>
  </w:p>
  <w:p w14:paraId="44A0E97A" w14:textId="77777777" w:rsidR="00E967AA" w:rsidRPr="00476B18" w:rsidRDefault="00E967AA">
    <w:pPr>
      <w:pStyle w:val="Zaglavlj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22890D3C"/>
    <w:multiLevelType w:val="multilevel"/>
    <w:tmpl w:val="FD9A9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308354F1"/>
    <w:multiLevelType w:val="multilevel"/>
    <w:tmpl w:val="F00809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923C98"/>
    <w:multiLevelType w:val="hybridMultilevel"/>
    <w:tmpl w:val="52E6DBB6"/>
    <w:lvl w:ilvl="0" w:tplc="21D691D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2025167">
    <w:abstractNumId w:val="3"/>
  </w:num>
  <w:num w:numId="2" w16cid:durableId="763455425">
    <w:abstractNumId w:val="1"/>
  </w:num>
  <w:num w:numId="3" w16cid:durableId="2102292766">
    <w:abstractNumId w:val="0"/>
  </w:num>
  <w:num w:numId="4" w16cid:durableId="19656898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F7"/>
    <w:rsid w:val="00002228"/>
    <w:rsid w:val="00002BA3"/>
    <w:rsid w:val="00002BE4"/>
    <w:rsid w:val="00003A2F"/>
    <w:rsid w:val="00003D8B"/>
    <w:rsid w:val="0000424A"/>
    <w:rsid w:val="00005247"/>
    <w:rsid w:val="000058E9"/>
    <w:rsid w:val="00005B42"/>
    <w:rsid w:val="00005F56"/>
    <w:rsid w:val="00006872"/>
    <w:rsid w:val="00007200"/>
    <w:rsid w:val="00010030"/>
    <w:rsid w:val="0001003F"/>
    <w:rsid w:val="000103C8"/>
    <w:rsid w:val="0001047D"/>
    <w:rsid w:val="000107F3"/>
    <w:rsid w:val="00013C6E"/>
    <w:rsid w:val="000140FF"/>
    <w:rsid w:val="00014AE9"/>
    <w:rsid w:val="00014B08"/>
    <w:rsid w:val="00014CA4"/>
    <w:rsid w:val="000155DA"/>
    <w:rsid w:val="00020B3E"/>
    <w:rsid w:val="0002117C"/>
    <w:rsid w:val="000211F5"/>
    <w:rsid w:val="000221FC"/>
    <w:rsid w:val="00022885"/>
    <w:rsid w:val="00023DCA"/>
    <w:rsid w:val="0002444E"/>
    <w:rsid w:val="00024EC2"/>
    <w:rsid w:val="0002502C"/>
    <w:rsid w:val="000268AD"/>
    <w:rsid w:val="00030F68"/>
    <w:rsid w:val="00032C46"/>
    <w:rsid w:val="00033541"/>
    <w:rsid w:val="00033D58"/>
    <w:rsid w:val="00034909"/>
    <w:rsid w:val="0003513D"/>
    <w:rsid w:val="0003581D"/>
    <w:rsid w:val="0003671C"/>
    <w:rsid w:val="00036BE9"/>
    <w:rsid w:val="00036EDE"/>
    <w:rsid w:val="0004023B"/>
    <w:rsid w:val="0004227B"/>
    <w:rsid w:val="000434F3"/>
    <w:rsid w:val="000463A9"/>
    <w:rsid w:val="000518EC"/>
    <w:rsid w:val="000522BB"/>
    <w:rsid w:val="00052A4F"/>
    <w:rsid w:val="00054085"/>
    <w:rsid w:val="0005482A"/>
    <w:rsid w:val="00055B0F"/>
    <w:rsid w:val="00056A7E"/>
    <w:rsid w:val="000576D5"/>
    <w:rsid w:val="000604F1"/>
    <w:rsid w:val="00060D68"/>
    <w:rsid w:val="00062631"/>
    <w:rsid w:val="00064173"/>
    <w:rsid w:val="00064C44"/>
    <w:rsid w:val="0006646A"/>
    <w:rsid w:val="00066610"/>
    <w:rsid w:val="00070151"/>
    <w:rsid w:val="00070700"/>
    <w:rsid w:val="00071598"/>
    <w:rsid w:val="000723C0"/>
    <w:rsid w:val="000724C0"/>
    <w:rsid w:val="00072E47"/>
    <w:rsid w:val="0007314E"/>
    <w:rsid w:val="00073869"/>
    <w:rsid w:val="00073B1B"/>
    <w:rsid w:val="00074570"/>
    <w:rsid w:val="000745E5"/>
    <w:rsid w:val="000746E6"/>
    <w:rsid w:val="00074715"/>
    <w:rsid w:val="000753C6"/>
    <w:rsid w:val="0007590B"/>
    <w:rsid w:val="00080364"/>
    <w:rsid w:val="0008040A"/>
    <w:rsid w:val="00080888"/>
    <w:rsid w:val="00080ACC"/>
    <w:rsid w:val="0008113A"/>
    <w:rsid w:val="00081940"/>
    <w:rsid w:val="00083453"/>
    <w:rsid w:val="000843EF"/>
    <w:rsid w:val="000862DD"/>
    <w:rsid w:val="00086370"/>
    <w:rsid w:val="00086BA8"/>
    <w:rsid w:val="00086E74"/>
    <w:rsid w:val="00087F07"/>
    <w:rsid w:val="000909F9"/>
    <w:rsid w:val="00092D56"/>
    <w:rsid w:val="0009475A"/>
    <w:rsid w:val="00094D9A"/>
    <w:rsid w:val="00096839"/>
    <w:rsid w:val="00096879"/>
    <w:rsid w:val="00097112"/>
    <w:rsid w:val="00097999"/>
    <w:rsid w:val="000A01C5"/>
    <w:rsid w:val="000A02A8"/>
    <w:rsid w:val="000A0417"/>
    <w:rsid w:val="000A0931"/>
    <w:rsid w:val="000A1103"/>
    <w:rsid w:val="000A1462"/>
    <w:rsid w:val="000A149F"/>
    <w:rsid w:val="000A19D8"/>
    <w:rsid w:val="000A1F4F"/>
    <w:rsid w:val="000A2964"/>
    <w:rsid w:val="000A29D6"/>
    <w:rsid w:val="000A31C0"/>
    <w:rsid w:val="000A35D5"/>
    <w:rsid w:val="000A3D65"/>
    <w:rsid w:val="000A4267"/>
    <w:rsid w:val="000A4728"/>
    <w:rsid w:val="000A5B53"/>
    <w:rsid w:val="000A6FFF"/>
    <w:rsid w:val="000A771E"/>
    <w:rsid w:val="000A7E72"/>
    <w:rsid w:val="000B04BB"/>
    <w:rsid w:val="000B0786"/>
    <w:rsid w:val="000B1B46"/>
    <w:rsid w:val="000B3485"/>
    <w:rsid w:val="000B3D46"/>
    <w:rsid w:val="000B3E4B"/>
    <w:rsid w:val="000B41E1"/>
    <w:rsid w:val="000B4D1D"/>
    <w:rsid w:val="000B4FAC"/>
    <w:rsid w:val="000B56B8"/>
    <w:rsid w:val="000B6140"/>
    <w:rsid w:val="000B7286"/>
    <w:rsid w:val="000B7361"/>
    <w:rsid w:val="000B74E3"/>
    <w:rsid w:val="000C0155"/>
    <w:rsid w:val="000C124E"/>
    <w:rsid w:val="000C2056"/>
    <w:rsid w:val="000C27C7"/>
    <w:rsid w:val="000C2C1B"/>
    <w:rsid w:val="000C3A48"/>
    <w:rsid w:val="000C4DB9"/>
    <w:rsid w:val="000C5AAB"/>
    <w:rsid w:val="000C7AEB"/>
    <w:rsid w:val="000C7B76"/>
    <w:rsid w:val="000D0EE1"/>
    <w:rsid w:val="000D0F57"/>
    <w:rsid w:val="000D2008"/>
    <w:rsid w:val="000D2B44"/>
    <w:rsid w:val="000D2B59"/>
    <w:rsid w:val="000D2E3F"/>
    <w:rsid w:val="000D5F70"/>
    <w:rsid w:val="000D60DF"/>
    <w:rsid w:val="000D6517"/>
    <w:rsid w:val="000D65AB"/>
    <w:rsid w:val="000D671C"/>
    <w:rsid w:val="000E02FB"/>
    <w:rsid w:val="000E1E5A"/>
    <w:rsid w:val="000E2220"/>
    <w:rsid w:val="000E2230"/>
    <w:rsid w:val="000E34AD"/>
    <w:rsid w:val="000E4A01"/>
    <w:rsid w:val="000E6997"/>
    <w:rsid w:val="000E6F3C"/>
    <w:rsid w:val="000F08B7"/>
    <w:rsid w:val="000F0E39"/>
    <w:rsid w:val="000F15F4"/>
    <w:rsid w:val="000F2049"/>
    <w:rsid w:val="000F20C7"/>
    <w:rsid w:val="000F48A7"/>
    <w:rsid w:val="000F49F4"/>
    <w:rsid w:val="000F543B"/>
    <w:rsid w:val="000F7000"/>
    <w:rsid w:val="00100752"/>
    <w:rsid w:val="001009F5"/>
    <w:rsid w:val="00101AA5"/>
    <w:rsid w:val="00102AE1"/>
    <w:rsid w:val="00103F7E"/>
    <w:rsid w:val="00105797"/>
    <w:rsid w:val="001120F5"/>
    <w:rsid w:val="00112554"/>
    <w:rsid w:val="00112BFE"/>
    <w:rsid w:val="00112EF2"/>
    <w:rsid w:val="00113D1E"/>
    <w:rsid w:val="00114B54"/>
    <w:rsid w:val="00114E00"/>
    <w:rsid w:val="0011523D"/>
    <w:rsid w:val="0011561D"/>
    <w:rsid w:val="0011571B"/>
    <w:rsid w:val="00116166"/>
    <w:rsid w:val="00116505"/>
    <w:rsid w:val="0011728F"/>
    <w:rsid w:val="00120F0B"/>
    <w:rsid w:val="00121149"/>
    <w:rsid w:val="00121C81"/>
    <w:rsid w:val="00122178"/>
    <w:rsid w:val="001225ED"/>
    <w:rsid w:val="00123349"/>
    <w:rsid w:val="00123439"/>
    <w:rsid w:val="001236E0"/>
    <w:rsid w:val="00124DC5"/>
    <w:rsid w:val="00126833"/>
    <w:rsid w:val="00127137"/>
    <w:rsid w:val="0012754D"/>
    <w:rsid w:val="00127744"/>
    <w:rsid w:val="00127FAE"/>
    <w:rsid w:val="001317B1"/>
    <w:rsid w:val="00133384"/>
    <w:rsid w:val="00133427"/>
    <w:rsid w:val="00134C65"/>
    <w:rsid w:val="00135B56"/>
    <w:rsid w:val="00135D85"/>
    <w:rsid w:val="00136618"/>
    <w:rsid w:val="00136771"/>
    <w:rsid w:val="00137157"/>
    <w:rsid w:val="00137E72"/>
    <w:rsid w:val="00140FA1"/>
    <w:rsid w:val="001415D5"/>
    <w:rsid w:val="00141BFD"/>
    <w:rsid w:val="001437E6"/>
    <w:rsid w:val="0014437D"/>
    <w:rsid w:val="00144509"/>
    <w:rsid w:val="001449E5"/>
    <w:rsid w:val="00145172"/>
    <w:rsid w:val="00145943"/>
    <w:rsid w:val="00146BC6"/>
    <w:rsid w:val="00146E60"/>
    <w:rsid w:val="00147A2E"/>
    <w:rsid w:val="00147DDF"/>
    <w:rsid w:val="00150E0A"/>
    <w:rsid w:val="00153907"/>
    <w:rsid w:val="00153A8A"/>
    <w:rsid w:val="0015416F"/>
    <w:rsid w:val="00154424"/>
    <w:rsid w:val="001553FE"/>
    <w:rsid w:val="00155C6A"/>
    <w:rsid w:val="00155CE4"/>
    <w:rsid w:val="00156D6C"/>
    <w:rsid w:val="00156DAC"/>
    <w:rsid w:val="001572FB"/>
    <w:rsid w:val="001573AA"/>
    <w:rsid w:val="00161296"/>
    <w:rsid w:val="00161630"/>
    <w:rsid w:val="00161DF8"/>
    <w:rsid w:val="001627F9"/>
    <w:rsid w:val="001637C0"/>
    <w:rsid w:val="00163A7B"/>
    <w:rsid w:val="00163DF3"/>
    <w:rsid w:val="00165798"/>
    <w:rsid w:val="00166C39"/>
    <w:rsid w:val="001672EE"/>
    <w:rsid w:val="00171F2A"/>
    <w:rsid w:val="0017264A"/>
    <w:rsid w:val="0017348D"/>
    <w:rsid w:val="00173DF1"/>
    <w:rsid w:val="001745BA"/>
    <w:rsid w:val="00175C0C"/>
    <w:rsid w:val="0017726D"/>
    <w:rsid w:val="001778F3"/>
    <w:rsid w:val="00177D8A"/>
    <w:rsid w:val="001801E7"/>
    <w:rsid w:val="00180384"/>
    <w:rsid w:val="00180700"/>
    <w:rsid w:val="00180B50"/>
    <w:rsid w:val="00181D5D"/>
    <w:rsid w:val="00181F72"/>
    <w:rsid w:val="00182308"/>
    <w:rsid w:val="00182555"/>
    <w:rsid w:val="00182BED"/>
    <w:rsid w:val="00183730"/>
    <w:rsid w:val="00183759"/>
    <w:rsid w:val="0018577B"/>
    <w:rsid w:val="001857E0"/>
    <w:rsid w:val="00186150"/>
    <w:rsid w:val="001871DE"/>
    <w:rsid w:val="0018748E"/>
    <w:rsid w:val="001922AF"/>
    <w:rsid w:val="00192551"/>
    <w:rsid w:val="001928AC"/>
    <w:rsid w:val="00192C2A"/>
    <w:rsid w:val="00192DE4"/>
    <w:rsid w:val="00192E9E"/>
    <w:rsid w:val="00193C2A"/>
    <w:rsid w:val="00194907"/>
    <w:rsid w:val="00194E2F"/>
    <w:rsid w:val="00195643"/>
    <w:rsid w:val="00195BA7"/>
    <w:rsid w:val="00195E70"/>
    <w:rsid w:val="00195E73"/>
    <w:rsid w:val="00196C38"/>
    <w:rsid w:val="001A1EC3"/>
    <w:rsid w:val="001A2FA6"/>
    <w:rsid w:val="001A3A0B"/>
    <w:rsid w:val="001A519D"/>
    <w:rsid w:val="001A549D"/>
    <w:rsid w:val="001A767A"/>
    <w:rsid w:val="001A7EAD"/>
    <w:rsid w:val="001B0937"/>
    <w:rsid w:val="001B11F4"/>
    <w:rsid w:val="001B26E4"/>
    <w:rsid w:val="001B31A4"/>
    <w:rsid w:val="001B4611"/>
    <w:rsid w:val="001B469F"/>
    <w:rsid w:val="001B4C08"/>
    <w:rsid w:val="001B5CAA"/>
    <w:rsid w:val="001B6EFD"/>
    <w:rsid w:val="001B6F1B"/>
    <w:rsid w:val="001B6FAF"/>
    <w:rsid w:val="001B7BE7"/>
    <w:rsid w:val="001B7D03"/>
    <w:rsid w:val="001C1390"/>
    <w:rsid w:val="001C213B"/>
    <w:rsid w:val="001C40BD"/>
    <w:rsid w:val="001C44D4"/>
    <w:rsid w:val="001C4758"/>
    <w:rsid w:val="001C55DD"/>
    <w:rsid w:val="001C55EC"/>
    <w:rsid w:val="001C5656"/>
    <w:rsid w:val="001C5AFC"/>
    <w:rsid w:val="001C7837"/>
    <w:rsid w:val="001C7E90"/>
    <w:rsid w:val="001D0D1C"/>
    <w:rsid w:val="001D0DD0"/>
    <w:rsid w:val="001D1B4F"/>
    <w:rsid w:val="001D52A2"/>
    <w:rsid w:val="001D5455"/>
    <w:rsid w:val="001D5B71"/>
    <w:rsid w:val="001D6C16"/>
    <w:rsid w:val="001D7700"/>
    <w:rsid w:val="001D7B27"/>
    <w:rsid w:val="001E0740"/>
    <w:rsid w:val="001E0965"/>
    <w:rsid w:val="001E22EF"/>
    <w:rsid w:val="001E2994"/>
    <w:rsid w:val="001E341A"/>
    <w:rsid w:val="001E36BF"/>
    <w:rsid w:val="001E4237"/>
    <w:rsid w:val="001E4523"/>
    <w:rsid w:val="001E4B91"/>
    <w:rsid w:val="001E4D0F"/>
    <w:rsid w:val="001E5D70"/>
    <w:rsid w:val="001E5ECC"/>
    <w:rsid w:val="001E74FD"/>
    <w:rsid w:val="001E76C9"/>
    <w:rsid w:val="001F050F"/>
    <w:rsid w:val="001F0554"/>
    <w:rsid w:val="001F0D84"/>
    <w:rsid w:val="001F2C44"/>
    <w:rsid w:val="001F35E1"/>
    <w:rsid w:val="001F3E27"/>
    <w:rsid w:val="001F59C8"/>
    <w:rsid w:val="001F5D64"/>
    <w:rsid w:val="001F7792"/>
    <w:rsid w:val="002010ED"/>
    <w:rsid w:val="002018CE"/>
    <w:rsid w:val="00201E48"/>
    <w:rsid w:val="00202472"/>
    <w:rsid w:val="00202873"/>
    <w:rsid w:val="00202F1F"/>
    <w:rsid w:val="00203C07"/>
    <w:rsid w:val="00203DF4"/>
    <w:rsid w:val="002044E2"/>
    <w:rsid w:val="00204889"/>
    <w:rsid w:val="00205D92"/>
    <w:rsid w:val="00205F38"/>
    <w:rsid w:val="0020689D"/>
    <w:rsid w:val="002069A8"/>
    <w:rsid w:val="00206E89"/>
    <w:rsid w:val="00207657"/>
    <w:rsid w:val="00207848"/>
    <w:rsid w:val="002103ED"/>
    <w:rsid w:val="00210AD8"/>
    <w:rsid w:val="0021158B"/>
    <w:rsid w:val="002128A0"/>
    <w:rsid w:val="002128FA"/>
    <w:rsid w:val="00212C8B"/>
    <w:rsid w:val="00213608"/>
    <w:rsid w:val="002143CC"/>
    <w:rsid w:val="0021506F"/>
    <w:rsid w:val="002153C2"/>
    <w:rsid w:val="0021594A"/>
    <w:rsid w:val="002165F6"/>
    <w:rsid w:val="00220EE7"/>
    <w:rsid w:val="00221043"/>
    <w:rsid w:val="00224591"/>
    <w:rsid w:val="00224C26"/>
    <w:rsid w:val="00225512"/>
    <w:rsid w:val="00225B87"/>
    <w:rsid w:val="002264A3"/>
    <w:rsid w:val="00226A2B"/>
    <w:rsid w:val="00227201"/>
    <w:rsid w:val="00231D05"/>
    <w:rsid w:val="002334B2"/>
    <w:rsid w:val="00233F0A"/>
    <w:rsid w:val="00234121"/>
    <w:rsid w:val="00234509"/>
    <w:rsid w:val="00234D67"/>
    <w:rsid w:val="00235011"/>
    <w:rsid w:val="002372D8"/>
    <w:rsid w:val="00237941"/>
    <w:rsid w:val="00240D26"/>
    <w:rsid w:val="00240E54"/>
    <w:rsid w:val="002412CE"/>
    <w:rsid w:val="002413B2"/>
    <w:rsid w:val="002414FC"/>
    <w:rsid w:val="002418BA"/>
    <w:rsid w:val="00241FAA"/>
    <w:rsid w:val="002422E2"/>
    <w:rsid w:val="0024296D"/>
    <w:rsid w:val="00243320"/>
    <w:rsid w:val="00243A59"/>
    <w:rsid w:val="00245B1B"/>
    <w:rsid w:val="0025011B"/>
    <w:rsid w:val="00251484"/>
    <w:rsid w:val="00252011"/>
    <w:rsid w:val="00252AFF"/>
    <w:rsid w:val="00253016"/>
    <w:rsid w:val="0025396E"/>
    <w:rsid w:val="002557C4"/>
    <w:rsid w:val="00255876"/>
    <w:rsid w:val="0025645A"/>
    <w:rsid w:val="0025650C"/>
    <w:rsid w:val="00256FA9"/>
    <w:rsid w:val="00257B1B"/>
    <w:rsid w:val="00263912"/>
    <w:rsid w:val="00265355"/>
    <w:rsid w:val="002656A5"/>
    <w:rsid w:val="00265CFA"/>
    <w:rsid w:val="00266A85"/>
    <w:rsid w:val="00271400"/>
    <w:rsid w:val="00271A03"/>
    <w:rsid w:val="0027210C"/>
    <w:rsid w:val="00272581"/>
    <w:rsid w:val="00272953"/>
    <w:rsid w:val="00273A62"/>
    <w:rsid w:val="0027692E"/>
    <w:rsid w:val="00280C60"/>
    <w:rsid w:val="00280DFB"/>
    <w:rsid w:val="00281E0D"/>
    <w:rsid w:val="002843CC"/>
    <w:rsid w:val="002847A6"/>
    <w:rsid w:val="00284915"/>
    <w:rsid w:val="0028542D"/>
    <w:rsid w:val="00286A13"/>
    <w:rsid w:val="00287428"/>
    <w:rsid w:val="002879CA"/>
    <w:rsid w:val="00290656"/>
    <w:rsid w:val="002907BB"/>
    <w:rsid w:val="00290A4B"/>
    <w:rsid w:val="002936AF"/>
    <w:rsid w:val="00293776"/>
    <w:rsid w:val="002959A0"/>
    <w:rsid w:val="0029694B"/>
    <w:rsid w:val="00296E19"/>
    <w:rsid w:val="0029792B"/>
    <w:rsid w:val="00297E94"/>
    <w:rsid w:val="002A06A5"/>
    <w:rsid w:val="002A112F"/>
    <w:rsid w:val="002A2A04"/>
    <w:rsid w:val="002A2CE8"/>
    <w:rsid w:val="002A2ECA"/>
    <w:rsid w:val="002A41B8"/>
    <w:rsid w:val="002A6670"/>
    <w:rsid w:val="002A6820"/>
    <w:rsid w:val="002A7E83"/>
    <w:rsid w:val="002A7F8B"/>
    <w:rsid w:val="002B01FC"/>
    <w:rsid w:val="002B0733"/>
    <w:rsid w:val="002B1813"/>
    <w:rsid w:val="002B3BED"/>
    <w:rsid w:val="002B44CE"/>
    <w:rsid w:val="002B53AE"/>
    <w:rsid w:val="002B5480"/>
    <w:rsid w:val="002B5F0A"/>
    <w:rsid w:val="002B5FBB"/>
    <w:rsid w:val="002B6D1F"/>
    <w:rsid w:val="002B7D01"/>
    <w:rsid w:val="002C0A9A"/>
    <w:rsid w:val="002C1E6A"/>
    <w:rsid w:val="002C2E74"/>
    <w:rsid w:val="002C398E"/>
    <w:rsid w:val="002C3AD1"/>
    <w:rsid w:val="002C4167"/>
    <w:rsid w:val="002C418A"/>
    <w:rsid w:val="002C4803"/>
    <w:rsid w:val="002C52FA"/>
    <w:rsid w:val="002C55FC"/>
    <w:rsid w:val="002D0436"/>
    <w:rsid w:val="002D1A99"/>
    <w:rsid w:val="002D21E1"/>
    <w:rsid w:val="002D3E4D"/>
    <w:rsid w:val="002D4654"/>
    <w:rsid w:val="002D4C89"/>
    <w:rsid w:val="002D63BE"/>
    <w:rsid w:val="002D6E3B"/>
    <w:rsid w:val="002D75E9"/>
    <w:rsid w:val="002E16B8"/>
    <w:rsid w:val="002E2DB9"/>
    <w:rsid w:val="002E2E23"/>
    <w:rsid w:val="002E35D1"/>
    <w:rsid w:val="002E4BEE"/>
    <w:rsid w:val="002E5047"/>
    <w:rsid w:val="002E5231"/>
    <w:rsid w:val="002F1046"/>
    <w:rsid w:val="002F2B14"/>
    <w:rsid w:val="002F5560"/>
    <w:rsid w:val="002F60F7"/>
    <w:rsid w:val="002F6963"/>
    <w:rsid w:val="002F7C00"/>
    <w:rsid w:val="003006E5"/>
    <w:rsid w:val="00301A2C"/>
    <w:rsid w:val="0030351D"/>
    <w:rsid w:val="00304A93"/>
    <w:rsid w:val="0030508E"/>
    <w:rsid w:val="0030599C"/>
    <w:rsid w:val="00305F6A"/>
    <w:rsid w:val="003063BD"/>
    <w:rsid w:val="00306450"/>
    <w:rsid w:val="00307C53"/>
    <w:rsid w:val="003101B3"/>
    <w:rsid w:val="003124A6"/>
    <w:rsid w:val="00313047"/>
    <w:rsid w:val="00314B21"/>
    <w:rsid w:val="003152F2"/>
    <w:rsid w:val="003166EE"/>
    <w:rsid w:val="00317AB9"/>
    <w:rsid w:val="00317EE3"/>
    <w:rsid w:val="00320241"/>
    <w:rsid w:val="00321626"/>
    <w:rsid w:val="00321FFE"/>
    <w:rsid w:val="00322B7B"/>
    <w:rsid w:val="00322D79"/>
    <w:rsid w:val="003263EB"/>
    <w:rsid w:val="00327739"/>
    <w:rsid w:val="00327C41"/>
    <w:rsid w:val="00330F32"/>
    <w:rsid w:val="00331763"/>
    <w:rsid w:val="00334908"/>
    <w:rsid w:val="0033493C"/>
    <w:rsid w:val="00334ABB"/>
    <w:rsid w:val="003374B3"/>
    <w:rsid w:val="00337D5C"/>
    <w:rsid w:val="00340F5C"/>
    <w:rsid w:val="003412C8"/>
    <w:rsid w:val="0034135A"/>
    <w:rsid w:val="0034139D"/>
    <w:rsid w:val="003415D5"/>
    <w:rsid w:val="00341F17"/>
    <w:rsid w:val="0034203D"/>
    <w:rsid w:val="003430CD"/>
    <w:rsid w:val="00343E97"/>
    <w:rsid w:val="003444DF"/>
    <w:rsid w:val="00344AFE"/>
    <w:rsid w:val="0034516F"/>
    <w:rsid w:val="00345ADE"/>
    <w:rsid w:val="00346C41"/>
    <w:rsid w:val="00347803"/>
    <w:rsid w:val="00347875"/>
    <w:rsid w:val="003515EC"/>
    <w:rsid w:val="00353073"/>
    <w:rsid w:val="00354D8B"/>
    <w:rsid w:val="00355618"/>
    <w:rsid w:val="00356D39"/>
    <w:rsid w:val="003574BB"/>
    <w:rsid w:val="003576CD"/>
    <w:rsid w:val="00357C63"/>
    <w:rsid w:val="003618BF"/>
    <w:rsid w:val="00361A06"/>
    <w:rsid w:val="00362593"/>
    <w:rsid w:val="003626B1"/>
    <w:rsid w:val="00363576"/>
    <w:rsid w:val="00364A79"/>
    <w:rsid w:val="0036705B"/>
    <w:rsid w:val="00367814"/>
    <w:rsid w:val="003706D6"/>
    <w:rsid w:val="00370D80"/>
    <w:rsid w:val="00373085"/>
    <w:rsid w:val="00373A87"/>
    <w:rsid w:val="00373EA0"/>
    <w:rsid w:val="00374DB5"/>
    <w:rsid w:val="00375824"/>
    <w:rsid w:val="0037590E"/>
    <w:rsid w:val="00375945"/>
    <w:rsid w:val="00377550"/>
    <w:rsid w:val="0038422A"/>
    <w:rsid w:val="003844B0"/>
    <w:rsid w:val="00384CFA"/>
    <w:rsid w:val="003853AA"/>
    <w:rsid w:val="00385424"/>
    <w:rsid w:val="00386DEF"/>
    <w:rsid w:val="00386E54"/>
    <w:rsid w:val="0038734B"/>
    <w:rsid w:val="0038751D"/>
    <w:rsid w:val="0038770D"/>
    <w:rsid w:val="00387AE4"/>
    <w:rsid w:val="0039062A"/>
    <w:rsid w:val="0039498E"/>
    <w:rsid w:val="00395430"/>
    <w:rsid w:val="00397909"/>
    <w:rsid w:val="003979A8"/>
    <w:rsid w:val="003A062B"/>
    <w:rsid w:val="003A179F"/>
    <w:rsid w:val="003A193B"/>
    <w:rsid w:val="003A1C15"/>
    <w:rsid w:val="003A28EB"/>
    <w:rsid w:val="003A3E04"/>
    <w:rsid w:val="003A4917"/>
    <w:rsid w:val="003A51C8"/>
    <w:rsid w:val="003A552F"/>
    <w:rsid w:val="003A5A41"/>
    <w:rsid w:val="003A5CB0"/>
    <w:rsid w:val="003A6CDA"/>
    <w:rsid w:val="003B07AE"/>
    <w:rsid w:val="003B2B3F"/>
    <w:rsid w:val="003B3459"/>
    <w:rsid w:val="003B3493"/>
    <w:rsid w:val="003B3A3F"/>
    <w:rsid w:val="003B3BDF"/>
    <w:rsid w:val="003B4732"/>
    <w:rsid w:val="003B7598"/>
    <w:rsid w:val="003C1708"/>
    <w:rsid w:val="003C3C43"/>
    <w:rsid w:val="003C4D10"/>
    <w:rsid w:val="003C51B1"/>
    <w:rsid w:val="003C5871"/>
    <w:rsid w:val="003C646F"/>
    <w:rsid w:val="003C6A55"/>
    <w:rsid w:val="003C6F5E"/>
    <w:rsid w:val="003C7B17"/>
    <w:rsid w:val="003D0087"/>
    <w:rsid w:val="003D032C"/>
    <w:rsid w:val="003D081A"/>
    <w:rsid w:val="003D31FE"/>
    <w:rsid w:val="003D3931"/>
    <w:rsid w:val="003D4C42"/>
    <w:rsid w:val="003D4CDB"/>
    <w:rsid w:val="003D4F1F"/>
    <w:rsid w:val="003D5D52"/>
    <w:rsid w:val="003D75AB"/>
    <w:rsid w:val="003E2B1B"/>
    <w:rsid w:val="003E309F"/>
    <w:rsid w:val="003E3A6D"/>
    <w:rsid w:val="003E4A04"/>
    <w:rsid w:val="003E5165"/>
    <w:rsid w:val="003F05FC"/>
    <w:rsid w:val="003F0753"/>
    <w:rsid w:val="003F083F"/>
    <w:rsid w:val="003F1E8D"/>
    <w:rsid w:val="003F2456"/>
    <w:rsid w:val="003F24F0"/>
    <w:rsid w:val="003F368D"/>
    <w:rsid w:val="003F536B"/>
    <w:rsid w:val="003F5488"/>
    <w:rsid w:val="003F69D2"/>
    <w:rsid w:val="003F6D57"/>
    <w:rsid w:val="003F7198"/>
    <w:rsid w:val="003F73BA"/>
    <w:rsid w:val="003F7945"/>
    <w:rsid w:val="003F7AAB"/>
    <w:rsid w:val="003F7ACC"/>
    <w:rsid w:val="004006E4"/>
    <w:rsid w:val="00402E0D"/>
    <w:rsid w:val="0040304B"/>
    <w:rsid w:val="00404143"/>
    <w:rsid w:val="0040485C"/>
    <w:rsid w:val="00405159"/>
    <w:rsid w:val="004066E3"/>
    <w:rsid w:val="00406C5C"/>
    <w:rsid w:val="00406F4D"/>
    <w:rsid w:val="00412948"/>
    <w:rsid w:val="00412E14"/>
    <w:rsid w:val="004142A4"/>
    <w:rsid w:val="004145AF"/>
    <w:rsid w:val="0041487D"/>
    <w:rsid w:val="0041508F"/>
    <w:rsid w:val="00415563"/>
    <w:rsid w:val="00415646"/>
    <w:rsid w:val="004157B8"/>
    <w:rsid w:val="00415F94"/>
    <w:rsid w:val="0041616C"/>
    <w:rsid w:val="0041629D"/>
    <w:rsid w:val="00416A50"/>
    <w:rsid w:val="004174BF"/>
    <w:rsid w:val="00417981"/>
    <w:rsid w:val="00417C3C"/>
    <w:rsid w:val="00417F47"/>
    <w:rsid w:val="00420752"/>
    <w:rsid w:val="00420772"/>
    <w:rsid w:val="00420E1D"/>
    <w:rsid w:val="00420FC9"/>
    <w:rsid w:val="0042104D"/>
    <w:rsid w:val="00421906"/>
    <w:rsid w:val="004243E4"/>
    <w:rsid w:val="00425C51"/>
    <w:rsid w:val="00425D6A"/>
    <w:rsid w:val="0042733D"/>
    <w:rsid w:val="00427607"/>
    <w:rsid w:val="00427771"/>
    <w:rsid w:val="004278B9"/>
    <w:rsid w:val="004302B8"/>
    <w:rsid w:val="00432D89"/>
    <w:rsid w:val="00433D25"/>
    <w:rsid w:val="004346AA"/>
    <w:rsid w:val="00436439"/>
    <w:rsid w:val="004377F4"/>
    <w:rsid w:val="00437822"/>
    <w:rsid w:val="00440AF5"/>
    <w:rsid w:val="00441AE6"/>
    <w:rsid w:val="0044345C"/>
    <w:rsid w:val="0044452C"/>
    <w:rsid w:val="00445331"/>
    <w:rsid w:val="004457D1"/>
    <w:rsid w:val="00445F4F"/>
    <w:rsid w:val="00446926"/>
    <w:rsid w:val="0044706F"/>
    <w:rsid w:val="00447891"/>
    <w:rsid w:val="004478C6"/>
    <w:rsid w:val="00447CF4"/>
    <w:rsid w:val="00450C29"/>
    <w:rsid w:val="00451AFB"/>
    <w:rsid w:val="00452391"/>
    <w:rsid w:val="00454251"/>
    <w:rsid w:val="0045497C"/>
    <w:rsid w:val="004568AD"/>
    <w:rsid w:val="00456DE2"/>
    <w:rsid w:val="0045759E"/>
    <w:rsid w:val="004579B3"/>
    <w:rsid w:val="00460D04"/>
    <w:rsid w:val="00460F88"/>
    <w:rsid w:val="00461871"/>
    <w:rsid w:val="0046232B"/>
    <w:rsid w:val="00462A5A"/>
    <w:rsid w:val="00463E8D"/>
    <w:rsid w:val="00464297"/>
    <w:rsid w:val="00464973"/>
    <w:rsid w:val="004651FA"/>
    <w:rsid w:val="00465354"/>
    <w:rsid w:val="00465E7E"/>
    <w:rsid w:val="00466601"/>
    <w:rsid w:val="00467653"/>
    <w:rsid w:val="004706CC"/>
    <w:rsid w:val="0047089D"/>
    <w:rsid w:val="00470A04"/>
    <w:rsid w:val="00471682"/>
    <w:rsid w:val="00471BB2"/>
    <w:rsid w:val="004720F7"/>
    <w:rsid w:val="00473525"/>
    <w:rsid w:val="0047376A"/>
    <w:rsid w:val="00473DBA"/>
    <w:rsid w:val="00475E74"/>
    <w:rsid w:val="0047690F"/>
    <w:rsid w:val="00476B18"/>
    <w:rsid w:val="00476B26"/>
    <w:rsid w:val="00476D96"/>
    <w:rsid w:val="004771DE"/>
    <w:rsid w:val="00477775"/>
    <w:rsid w:val="00477866"/>
    <w:rsid w:val="00480EB3"/>
    <w:rsid w:val="00481337"/>
    <w:rsid w:val="00482401"/>
    <w:rsid w:val="0048518D"/>
    <w:rsid w:val="0048576F"/>
    <w:rsid w:val="00485C36"/>
    <w:rsid w:val="00487D86"/>
    <w:rsid w:val="0049059B"/>
    <w:rsid w:val="00491DCD"/>
    <w:rsid w:val="00495E9B"/>
    <w:rsid w:val="00496490"/>
    <w:rsid w:val="004A0175"/>
    <w:rsid w:val="004A0758"/>
    <w:rsid w:val="004A1012"/>
    <w:rsid w:val="004A1466"/>
    <w:rsid w:val="004A14E9"/>
    <w:rsid w:val="004A174B"/>
    <w:rsid w:val="004A1AE0"/>
    <w:rsid w:val="004A3E20"/>
    <w:rsid w:val="004A45D8"/>
    <w:rsid w:val="004A4C4B"/>
    <w:rsid w:val="004A543F"/>
    <w:rsid w:val="004A5A6F"/>
    <w:rsid w:val="004A7198"/>
    <w:rsid w:val="004A724E"/>
    <w:rsid w:val="004A757F"/>
    <w:rsid w:val="004A782E"/>
    <w:rsid w:val="004B002D"/>
    <w:rsid w:val="004B3436"/>
    <w:rsid w:val="004B3611"/>
    <w:rsid w:val="004B3E95"/>
    <w:rsid w:val="004B4BE8"/>
    <w:rsid w:val="004B739F"/>
    <w:rsid w:val="004B7B13"/>
    <w:rsid w:val="004B7D9B"/>
    <w:rsid w:val="004C00DB"/>
    <w:rsid w:val="004C0819"/>
    <w:rsid w:val="004C180D"/>
    <w:rsid w:val="004C2074"/>
    <w:rsid w:val="004C2FE1"/>
    <w:rsid w:val="004C33C7"/>
    <w:rsid w:val="004C3AF1"/>
    <w:rsid w:val="004C3F22"/>
    <w:rsid w:val="004C42E0"/>
    <w:rsid w:val="004C6EC3"/>
    <w:rsid w:val="004C7525"/>
    <w:rsid w:val="004D0DA8"/>
    <w:rsid w:val="004D1AE7"/>
    <w:rsid w:val="004D28C7"/>
    <w:rsid w:val="004D2D6A"/>
    <w:rsid w:val="004D2E7B"/>
    <w:rsid w:val="004D3E88"/>
    <w:rsid w:val="004D4D32"/>
    <w:rsid w:val="004D5631"/>
    <w:rsid w:val="004D651F"/>
    <w:rsid w:val="004D779A"/>
    <w:rsid w:val="004D7AAF"/>
    <w:rsid w:val="004E0B99"/>
    <w:rsid w:val="004E19FB"/>
    <w:rsid w:val="004E3308"/>
    <w:rsid w:val="004E3556"/>
    <w:rsid w:val="004E37B1"/>
    <w:rsid w:val="004E388D"/>
    <w:rsid w:val="004E3A92"/>
    <w:rsid w:val="004E4609"/>
    <w:rsid w:val="004E47B5"/>
    <w:rsid w:val="004E578F"/>
    <w:rsid w:val="004E596C"/>
    <w:rsid w:val="004E6F8B"/>
    <w:rsid w:val="004F09ED"/>
    <w:rsid w:val="004F0C9B"/>
    <w:rsid w:val="004F1CEE"/>
    <w:rsid w:val="004F205E"/>
    <w:rsid w:val="004F238B"/>
    <w:rsid w:val="004F42CF"/>
    <w:rsid w:val="004F45CF"/>
    <w:rsid w:val="004F58E0"/>
    <w:rsid w:val="004F5EB0"/>
    <w:rsid w:val="004F66EA"/>
    <w:rsid w:val="005009FE"/>
    <w:rsid w:val="0050161B"/>
    <w:rsid w:val="005024E9"/>
    <w:rsid w:val="0050293E"/>
    <w:rsid w:val="00503EC8"/>
    <w:rsid w:val="00504203"/>
    <w:rsid w:val="00504E0C"/>
    <w:rsid w:val="00505068"/>
    <w:rsid w:val="0050554D"/>
    <w:rsid w:val="00505724"/>
    <w:rsid w:val="00506CC9"/>
    <w:rsid w:val="0050719C"/>
    <w:rsid w:val="005075FF"/>
    <w:rsid w:val="00507A1C"/>
    <w:rsid w:val="005109A2"/>
    <w:rsid w:val="0051170E"/>
    <w:rsid w:val="00511FFA"/>
    <w:rsid w:val="00513055"/>
    <w:rsid w:val="005133BE"/>
    <w:rsid w:val="005141D5"/>
    <w:rsid w:val="00515034"/>
    <w:rsid w:val="00515999"/>
    <w:rsid w:val="00516FB3"/>
    <w:rsid w:val="00517E47"/>
    <w:rsid w:val="00524D1D"/>
    <w:rsid w:val="005274FE"/>
    <w:rsid w:val="00531EB0"/>
    <w:rsid w:val="00534213"/>
    <w:rsid w:val="00534D34"/>
    <w:rsid w:val="00536335"/>
    <w:rsid w:val="0053705A"/>
    <w:rsid w:val="005371C6"/>
    <w:rsid w:val="00537398"/>
    <w:rsid w:val="00537423"/>
    <w:rsid w:val="00537B2D"/>
    <w:rsid w:val="0054171A"/>
    <w:rsid w:val="0054416C"/>
    <w:rsid w:val="00544317"/>
    <w:rsid w:val="00544512"/>
    <w:rsid w:val="00544580"/>
    <w:rsid w:val="00544BB7"/>
    <w:rsid w:val="00545988"/>
    <w:rsid w:val="00545D1A"/>
    <w:rsid w:val="0054663A"/>
    <w:rsid w:val="00546BF5"/>
    <w:rsid w:val="0054742C"/>
    <w:rsid w:val="00547682"/>
    <w:rsid w:val="00547A24"/>
    <w:rsid w:val="00550D36"/>
    <w:rsid w:val="005511D4"/>
    <w:rsid w:val="00551DEA"/>
    <w:rsid w:val="005520BA"/>
    <w:rsid w:val="00553218"/>
    <w:rsid w:val="005546AF"/>
    <w:rsid w:val="00554E5A"/>
    <w:rsid w:val="005555EC"/>
    <w:rsid w:val="0055590B"/>
    <w:rsid w:val="005559B7"/>
    <w:rsid w:val="005563FB"/>
    <w:rsid w:val="00556B6B"/>
    <w:rsid w:val="005577AC"/>
    <w:rsid w:val="00557843"/>
    <w:rsid w:val="00557F54"/>
    <w:rsid w:val="0056045C"/>
    <w:rsid w:val="00561182"/>
    <w:rsid w:val="0056157C"/>
    <w:rsid w:val="005643BF"/>
    <w:rsid w:val="00564A82"/>
    <w:rsid w:val="00566AC6"/>
    <w:rsid w:val="00566DE7"/>
    <w:rsid w:val="00567223"/>
    <w:rsid w:val="0056786A"/>
    <w:rsid w:val="005679E8"/>
    <w:rsid w:val="005701C8"/>
    <w:rsid w:val="00570AB1"/>
    <w:rsid w:val="00571491"/>
    <w:rsid w:val="0057295B"/>
    <w:rsid w:val="005729F7"/>
    <w:rsid w:val="005732F5"/>
    <w:rsid w:val="0057354A"/>
    <w:rsid w:val="005745C8"/>
    <w:rsid w:val="00575D1B"/>
    <w:rsid w:val="00576317"/>
    <w:rsid w:val="005768B6"/>
    <w:rsid w:val="00580138"/>
    <w:rsid w:val="0058015A"/>
    <w:rsid w:val="0058077A"/>
    <w:rsid w:val="00580805"/>
    <w:rsid w:val="00580D93"/>
    <w:rsid w:val="00580E3E"/>
    <w:rsid w:val="0058245C"/>
    <w:rsid w:val="0058370F"/>
    <w:rsid w:val="00585321"/>
    <w:rsid w:val="00585727"/>
    <w:rsid w:val="0058724A"/>
    <w:rsid w:val="00587751"/>
    <w:rsid w:val="00587B1D"/>
    <w:rsid w:val="00587DEA"/>
    <w:rsid w:val="00590BA8"/>
    <w:rsid w:val="005918B5"/>
    <w:rsid w:val="00592AE2"/>
    <w:rsid w:val="0059482E"/>
    <w:rsid w:val="005958E5"/>
    <w:rsid w:val="005958EF"/>
    <w:rsid w:val="005A1548"/>
    <w:rsid w:val="005A2C15"/>
    <w:rsid w:val="005A2CD2"/>
    <w:rsid w:val="005A3878"/>
    <w:rsid w:val="005A398E"/>
    <w:rsid w:val="005A3AEF"/>
    <w:rsid w:val="005A3E54"/>
    <w:rsid w:val="005A4593"/>
    <w:rsid w:val="005A47F8"/>
    <w:rsid w:val="005A49A9"/>
    <w:rsid w:val="005A4CD5"/>
    <w:rsid w:val="005A5787"/>
    <w:rsid w:val="005A755B"/>
    <w:rsid w:val="005B0BF2"/>
    <w:rsid w:val="005B3A42"/>
    <w:rsid w:val="005B3BF9"/>
    <w:rsid w:val="005B4ABB"/>
    <w:rsid w:val="005B5039"/>
    <w:rsid w:val="005B5487"/>
    <w:rsid w:val="005B57D0"/>
    <w:rsid w:val="005B61EA"/>
    <w:rsid w:val="005B6304"/>
    <w:rsid w:val="005B6C9B"/>
    <w:rsid w:val="005B7259"/>
    <w:rsid w:val="005B72E3"/>
    <w:rsid w:val="005B7707"/>
    <w:rsid w:val="005B7E4E"/>
    <w:rsid w:val="005C08A1"/>
    <w:rsid w:val="005C15C5"/>
    <w:rsid w:val="005C1EFD"/>
    <w:rsid w:val="005C2D1D"/>
    <w:rsid w:val="005C5389"/>
    <w:rsid w:val="005C55DB"/>
    <w:rsid w:val="005C6706"/>
    <w:rsid w:val="005C6A77"/>
    <w:rsid w:val="005C6E54"/>
    <w:rsid w:val="005C7CD7"/>
    <w:rsid w:val="005D0621"/>
    <w:rsid w:val="005D2063"/>
    <w:rsid w:val="005D29CE"/>
    <w:rsid w:val="005D372D"/>
    <w:rsid w:val="005D3B95"/>
    <w:rsid w:val="005D4C03"/>
    <w:rsid w:val="005D52B5"/>
    <w:rsid w:val="005D6EB5"/>
    <w:rsid w:val="005E0EB1"/>
    <w:rsid w:val="005E2A63"/>
    <w:rsid w:val="005E45F0"/>
    <w:rsid w:val="005E4D5A"/>
    <w:rsid w:val="005E4DB0"/>
    <w:rsid w:val="005E52A3"/>
    <w:rsid w:val="005E5413"/>
    <w:rsid w:val="005E5450"/>
    <w:rsid w:val="005E6878"/>
    <w:rsid w:val="005E6A4B"/>
    <w:rsid w:val="005F0B87"/>
    <w:rsid w:val="005F0C5D"/>
    <w:rsid w:val="005F13C1"/>
    <w:rsid w:val="005F26F6"/>
    <w:rsid w:val="005F2DAE"/>
    <w:rsid w:val="005F3532"/>
    <w:rsid w:val="005F3C7A"/>
    <w:rsid w:val="005F49E8"/>
    <w:rsid w:val="005F4C96"/>
    <w:rsid w:val="005F5D96"/>
    <w:rsid w:val="005F7317"/>
    <w:rsid w:val="00600BEC"/>
    <w:rsid w:val="0060165E"/>
    <w:rsid w:val="00601EC2"/>
    <w:rsid w:val="00603415"/>
    <w:rsid w:val="006043E5"/>
    <w:rsid w:val="00604437"/>
    <w:rsid w:val="006046E0"/>
    <w:rsid w:val="0060522C"/>
    <w:rsid w:val="00606511"/>
    <w:rsid w:val="00606ABB"/>
    <w:rsid w:val="00606BA1"/>
    <w:rsid w:val="00606E6B"/>
    <w:rsid w:val="00607C87"/>
    <w:rsid w:val="00607D9A"/>
    <w:rsid w:val="00607DF2"/>
    <w:rsid w:val="00607ED4"/>
    <w:rsid w:val="00610B3F"/>
    <w:rsid w:val="00610DEC"/>
    <w:rsid w:val="00611314"/>
    <w:rsid w:val="006119D6"/>
    <w:rsid w:val="006128E1"/>
    <w:rsid w:val="00614B60"/>
    <w:rsid w:val="006161DC"/>
    <w:rsid w:val="00617D95"/>
    <w:rsid w:val="00620305"/>
    <w:rsid w:val="006203B3"/>
    <w:rsid w:val="00620D16"/>
    <w:rsid w:val="00622883"/>
    <w:rsid w:val="00622961"/>
    <w:rsid w:val="00622BCD"/>
    <w:rsid w:val="00622FEC"/>
    <w:rsid w:val="006233F7"/>
    <w:rsid w:val="00623603"/>
    <w:rsid w:val="00623750"/>
    <w:rsid w:val="00623A74"/>
    <w:rsid w:val="00624DD3"/>
    <w:rsid w:val="0062525F"/>
    <w:rsid w:val="0062595E"/>
    <w:rsid w:val="00626635"/>
    <w:rsid w:val="006278FC"/>
    <w:rsid w:val="006305BE"/>
    <w:rsid w:val="0063084C"/>
    <w:rsid w:val="00630ED6"/>
    <w:rsid w:val="00634DD6"/>
    <w:rsid w:val="006350CE"/>
    <w:rsid w:val="006351A0"/>
    <w:rsid w:val="006376F3"/>
    <w:rsid w:val="006404BF"/>
    <w:rsid w:val="006409CF"/>
    <w:rsid w:val="00641246"/>
    <w:rsid w:val="00641A1B"/>
    <w:rsid w:val="00643E16"/>
    <w:rsid w:val="00643F55"/>
    <w:rsid w:val="00644D6D"/>
    <w:rsid w:val="00645DCE"/>
    <w:rsid w:val="00646753"/>
    <w:rsid w:val="006507F8"/>
    <w:rsid w:val="0065136D"/>
    <w:rsid w:val="006523B7"/>
    <w:rsid w:val="0065323E"/>
    <w:rsid w:val="00654220"/>
    <w:rsid w:val="006547F5"/>
    <w:rsid w:val="00655C6E"/>
    <w:rsid w:val="006564C0"/>
    <w:rsid w:val="00656CCA"/>
    <w:rsid w:val="0065771B"/>
    <w:rsid w:val="00657C7F"/>
    <w:rsid w:val="006603BB"/>
    <w:rsid w:val="00660E25"/>
    <w:rsid w:val="0066330B"/>
    <w:rsid w:val="006637D9"/>
    <w:rsid w:val="0066495C"/>
    <w:rsid w:val="006649DE"/>
    <w:rsid w:val="00665897"/>
    <w:rsid w:val="006659B1"/>
    <w:rsid w:val="00666984"/>
    <w:rsid w:val="006674F8"/>
    <w:rsid w:val="00670C96"/>
    <w:rsid w:val="00670FF8"/>
    <w:rsid w:val="00671D80"/>
    <w:rsid w:val="00671E3D"/>
    <w:rsid w:val="00672261"/>
    <w:rsid w:val="00672596"/>
    <w:rsid w:val="00672E9A"/>
    <w:rsid w:val="00673E09"/>
    <w:rsid w:val="0067449D"/>
    <w:rsid w:val="006748E2"/>
    <w:rsid w:val="00674C57"/>
    <w:rsid w:val="00675BFF"/>
    <w:rsid w:val="006777E6"/>
    <w:rsid w:val="00677972"/>
    <w:rsid w:val="0068040D"/>
    <w:rsid w:val="006804A3"/>
    <w:rsid w:val="006805A0"/>
    <w:rsid w:val="0068234A"/>
    <w:rsid w:val="0068315F"/>
    <w:rsid w:val="00685323"/>
    <w:rsid w:val="006856B6"/>
    <w:rsid w:val="00685DEF"/>
    <w:rsid w:val="00685FFF"/>
    <w:rsid w:val="0068711F"/>
    <w:rsid w:val="0068719C"/>
    <w:rsid w:val="00687D76"/>
    <w:rsid w:val="00687F3C"/>
    <w:rsid w:val="00690D1C"/>
    <w:rsid w:val="00691F76"/>
    <w:rsid w:val="006925F9"/>
    <w:rsid w:val="00695CCF"/>
    <w:rsid w:val="00696184"/>
    <w:rsid w:val="00696844"/>
    <w:rsid w:val="0069710B"/>
    <w:rsid w:val="006975F4"/>
    <w:rsid w:val="006A045D"/>
    <w:rsid w:val="006A3ADF"/>
    <w:rsid w:val="006A409B"/>
    <w:rsid w:val="006A4FFB"/>
    <w:rsid w:val="006A6AF3"/>
    <w:rsid w:val="006A728A"/>
    <w:rsid w:val="006B02FA"/>
    <w:rsid w:val="006B0A51"/>
    <w:rsid w:val="006B1392"/>
    <w:rsid w:val="006B168D"/>
    <w:rsid w:val="006B2104"/>
    <w:rsid w:val="006B2C64"/>
    <w:rsid w:val="006B2CAA"/>
    <w:rsid w:val="006B3084"/>
    <w:rsid w:val="006B476D"/>
    <w:rsid w:val="006B585C"/>
    <w:rsid w:val="006B609F"/>
    <w:rsid w:val="006B6418"/>
    <w:rsid w:val="006B6A55"/>
    <w:rsid w:val="006C0812"/>
    <w:rsid w:val="006C0D08"/>
    <w:rsid w:val="006C1663"/>
    <w:rsid w:val="006C18BD"/>
    <w:rsid w:val="006C21E3"/>
    <w:rsid w:val="006C28B8"/>
    <w:rsid w:val="006C2CA3"/>
    <w:rsid w:val="006C59FC"/>
    <w:rsid w:val="006C692F"/>
    <w:rsid w:val="006D363D"/>
    <w:rsid w:val="006D3989"/>
    <w:rsid w:val="006D3AD9"/>
    <w:rsid w:val="006D3F78"/>
    <w:rsid w:val="006D4A0B"/>
    <w:rsid w:val="006D526E"/>
    <w:rsid w:val="006D70E8"/>
    <w:rsid w:val="006E0477"/>
    <w:rsid w:val="006E0D82"/>
    <w:rsid w:val="006E154C"/>
    <w:rsid w:val="006E1651"/>
    <w:rsid w:val="006E1D4C"/>
    <w:rsid w:val="006E201C"/>
    <w:rsid w:val="006E20D3"/>
    <w:rsid w:val="006E26C4"/>
    <w:rsid w:val="006E306F"/>
    <w:rsid w:val="006E3B44"/>
    <w:rsid w:val="006E3E12"/>
    <w:rsid w:val="006E4B5F"/>
    <w:rsid w:val="006E4E00"/>
    <w:rsid w:val="006E5C0D"/>
    <w:rsid w:val="006E7837"/>
    <w:rsid w:val="006F045C"/>
    <w:rsid w:val="006F1239"/>
    <w:rsid w:val="006F17B0"/>
    <w:rsid w:val="006F2316"/>
    <w:rsid w:val="006F2390"/>
    <w:rsid w:val="006F4597"/>
    <w:rsid w:val="006F4ACD"/>
    <w:rsid w:val="006F5FC2"/>
    <w:rsid w:val="006F664D"/>
    <w:rsid w:val="006F7182"/>
    <w:rsid w:val="006F74C3"/>
    <w:rsid w:val="006F7661"/>
    <w:rsid w:val="0070083A"/>
    <w:rsid w:val="007025B6"/>
    <w:rsid w:val="0070302F"/>
    <w:rsid w:val="0070414F"/>
    <w:rsid w:val="00705101"/>
    <w:rsid w:val="00705154"/>
    <w:rsid w:val="00705BE5"/>
    <w:rsid w:val="007062B2"/>
    <w:rsid w:val="00706D7B"/>
    <w:rsid w:val="007107DE"/>
    <w:rsid w:val="007108B7"/>
    <w:rsid w:val="00711586"/>
    <w:rsid w:val="007127A2"/>
    <w:rsid w:val="00712B6C"/>
    <w:rsid w:val="00712F56"/>
    <w:rsid w:val="0071343C"/>
    <w:rsid w:val="00713A94"/>
    <w:rsid w:val="00714181"/>
    <w:rsid w:val="00715141"/>
    <w:rsid w:val="0071553D"/>
    <w:rsid w:val="00715B98"/>
    <w:rsid w:val="00716C06"/>
    <w:rsid w:val="00716E30"/>
    <w:rsid w:val="007172FF"/>
    <w:rsid w:val="007176B0"/>
    <w:rsid w:val="00720394"/>
    <w:rsid w:val="0072187B"/>
    <w:rsid w:val="00721DDE"/>
    <w:rsid w:val="00722997"/>
    <w:rsid w:val="007236DC"/>
    <w:rsid w:val="00725FD6"/>
    <w:rsid w:val="0073199F"/>
    <w:rsid w:val="00732A88"/>
    <w:rsid w:val="00732F75"/>
    <w:rsid w:val="00732FA9"/>
    <w:rsid w:val="00733207"/>
    <w:rsid w:val="00733829"/>
    <w:rsid w:val="00733AC2"/>
    <w:rsid w:val="007342DB"/>
    <w:rsid w:val="007352B8"/>
    <w:rsid w:val="007355E0"/>
    <w:rsid w:val="0073600A"/>
    <w:rsid w:val="00736328"/>
    <w:rsid w:val="007367E3"/>
    <w:rsid w:val="00736E07"/>
    <w:rsid w:val="00736F42"/>
    <w:rsid w:val="007370FE"/>
    <w:rsid w:val="007406B0"/>
    <w:rsid w:val="00740704"/>
    <w:rsid w:val="00740940"/>
    <w:rsid w:val="00744425"/>
    <w:rsid w:val="00744C4E"/>
    <w:rsid w:val="007465F9"/>
    <w:rsid w:val="00746B95"/>
    <w:rsid w:val="00746C6E"/>
    <w:rsid w:val="007477D0"/>
    <w:rsid w:val="00751448"/>
    <w:rsid w:val="0075238E"/>
    <w:rsid w:val="007526FB"/>
    <w:rsid w:val="007527AC"/>
    <w:rsid w:val="00752E12"/>
    <w:rsid w:val="007536BA"/>
    <w:rsid w:val="00753AFF"/>
    <w:rsid w:val="007546F4"/>
    <w:rsid w:val="007553A5"/>
    <w:rsid w:val="0075581B"/>
    <w:rsid w:val="00755A1E"/>
    <w:rsid w:val="0075669E"/>
    <w:rsid w:val="00757510"/>
    <w:rsid w:val="0076147F"/>
    <w:rsid w:val="007640AA"/>
    <w:rsid w:val="00764141"/>
    <w:rsid w:val="00764AD1"/>
    <w:rsid w:val="00765D1B"/>
    <w:rsid w:val="007668E6"/>
    <w:rsid w:val="00767273"/>
    <w:rsid w:val="007672A3"/>
    <w:rsid w:val="007700F6"/>
    <w:rsid w:val="00770E02"/>
    <w:rsid w:val="00770FC7"/>
    <w:rsid w:val="00771911"/>
    <w:rsid w:val="007720D4"/>
    <w:rsid w:val="0077241C"/>
    <w:rsid w:val="00773310"/>
    <w:rsid w:val="007742EA"/>
    <w:rsid w:val="00774B49"/>
    <w:rsid w:val="00774F6D"/>
    <w:rsid w:val="007752EC"/>
    <w:rsid w:val="00775DEF"/>
    <w:rsid w:val="0077619E"/>
    <w:rsid w:val="007765E3"/>
    <w:rsid w:val="00776C0D"/>
    <w:rsid w:val="00776D45"/>
    <w:rsid w:val="00781F4A"/>
    <w:rsid w:val="00783395"/>
    <w:rsid w:val="00784416"/>
    <w:rsid w:val="00784C77"/>
    <w:rsid w:val="00784F19"/>
    <w:rsid w:val="00784FDD"/>
    <w:rsid w:val="00785427"/>
    <w:rsid w:val="00785EDA"/>
    <w:rsid w:val="00786A7B"/>
    <w:rsid w:val="00786D37"/>
    <w:rsid w:val="007902F7"/>
    <w:rsid w:val="00791D1F"/>
    <w:rsid w:val="007922B3"/>
    <w:rsid w:val="007927C5"/>
    <w:rsid w:val="007929D8"/>
    <w:rsid w:val="00792BA0"/>
    <w:rsid w:val="00792DA6"/>
    <w:rsid w:val="00792E95"/>
    <w:rsid w:val="00793799"/>
    <w:rsid w:val="007939AB"/>
    <w:rsid w:val="00793A1D"/>
    <w:rsid w:val="00793E95"/>
    <w:rsid w:val="00794994"/>
    <w:rsid w:val="0079503E"/>
    <w:rsid w:val="0079589F"/>
    <w:rsid w:val="00795E48"/>
    <w:rsid w:val="0079677B"/>
    <w:rsid w:val="007979BE"/>
    <w:rsid w:val="007A00F5"/>
    <w:rsid w:val="007A054A"/>
    <w:rsid w:val="007A097C"/>
    <w:rsid w:val="007A2279"/>
    <w:rsid w:val="007A4CEF"/>
    <w:rsid w:val="007A6DF2"/>
    <w:rsid w:val="007A78EE"/>
    <w:rsid w:val="007B1F19"/>
    <w:rsid w:val="007B2BF0"/>
    <w:rsid w:val="007B2D1C"/>
    <w:rsid w:val="007B34C8"/>
    <w:rsid w:val="007B404E"/>
    <w:rsid w:val="007B5FDD"/>
    <w:rsid w:val="007B6368"/>
    <w:rsid w:val="007B6514"/>
    <w:rsid w:val="007B6592"/>
    <w:rsid w:val="007B6BCC"/>
    <w:rsid w:val="007B6DBA"/>
    <w:rsid w:val="007B7B92"/>
    <w:rsid w:val="007B7E00"/>
    <w:rsid w:val="007C0326"/>
    <w:rsid w:val="007C0A86"/>
    <w:rsid w:val="007C3936"/>
    <w:rsid w:val="007C450D"/>
    <w:rsid w:val="007C4A8F"/>
    <w:rsid w:val="007C4ACF"/>
    <w:rsid w:val="007C6C42"/>
    <w:rsid w:val="007C6E93"/>
    <w:rsid w:val="007C70B2"/>
    <w:rsid w:val="007C7319"/>
    <w:rsid w:val="007D0761"/>
    <w:rsid w:val="007D2071"/>
    <w:rsid w:val="007D2BD7"/>
    <w:rsid w:val="007D2D8A"/>
    <w:rsid w:val="007D479B"/>
    <w:rsid w:val="007D53D8"/>
    <w:rsid w:val="007D7317"/>
    <w:rsid w:val="007D764E"/>
    <w:rsid w:val="007D7988"/>
    <w:rsid w:val="007E031D"/>
    <w:rsid w:val="007E1C5B"/>
    <w:rsid w:val="007E5303"/>
    <w:rsid w:val="007E535B"/>
    <w:rsid w:val="007E54A8"/>
    <w:rsid w:val="007E5517"/>
    <w:rsid w:val="007E55EE"/>
    <w:rsid w:val="007E58B7"/>
    <w:rsid w:val="007E63AB"/>
    <w:rsid w:val="007E66AA"/>
    <w:rsid w:val="007E67AC"/>
    <w:rsid w:val="007E7C9A"/>
    <w:rsid w:val="007F0E27"/>
    <w:rsid w:val="007F3FAD"/>
    <w:rsid w:val="007F471B"/>
    <w:rsid w:val="007F53DA"/>
    <w:rsid w:val="007F58B5"/>
    <w:rsid w:val="00800A64"/>
    <w:rsid w:val="00800B51"/>
    <w:rsid w:val="00804630"/>
    <w:rsid w:val="00806DA5"/>
    <w:rsid w:val="008110EC"/>
    <w:rsid w:val="00811BC7"/>
    <w:rsid w:val="008129A8"/>
    <w:rsid w:val="00812AAB"/>
    <w:rsid w:val="00812DAE"/>
    <w:rsid w:val="00815049"/>
    <w:rsid w:val="008153F0"/>
    <w:rsid w:val="0081693B"/>
    <w:rsid w:val="00816BB6"/>
    <w:rsid w:val="008171EA"/>
    <w:rsid w:val="00817598"/>
    <w:rsid w:val="00817D62"/>
    <w:rsid w:val="008228ED"/>
    <w:rsid w:val="00824171"/>
    <w:rsid w:val="0082435C"/>
    <w:rsid w:val="0082487F"/>
    <w:rsid w:val="00824F47"/>
    <w:rsid w:val="0082513F"/>
    <w:rsid w:val="008270DB"/>
    <w:rsid w:val="00827542"/>
    <w:rsid w:val="00830E50"/>
    <w:rsid w:val="00832354"/>
    <w:rsid w:val="00832A67"/>
    <w:rsid w:val="00832C49"/>
    <w:rsid w:val="008334A4"/>
    <w:rsid w:val="008337DD"/>
    <w:rsid w:val="00833838"/>
    <w:rsid w:val="00833E6A"/>
    <w:rsid w:val="00836057"/>
    <w:rsid w:val="0083629F"/>
    <w:rsid w:val="00836320"/>
    <w:rsid w:val="008405D0"/>
    <w:rsid w:val="008412CA"/>
    <w:rsid w:val="008418E9"/>
    <w:rsid w:val="00842013"/>
    <w:rsid w:val="008420AF"/>
    <w:rsid w:val="008422ED"/>
    <w:rsid w:val="00842D06"/>
    <w:rsid w:val="00843E37"/>
    <w:rsid w:val="00843EF2"/>
    <w:rsid w:val="008446A6"/>
    <w:rsid w:val="00844D75"/>
    <w:rsid w:val="0084549F"/>
    <w:rsid w:val="00845AEF"/>
    <w:rsid w:val="00845B58"/>
    <w:rsid w:val="00846339"/>
    <w:rsid w:val="0084660D"/>
    <w:rsid w:val="008475C3"/>
    <w:rsid w:val="00847F4B"/>
    <w:rsid w:val="00850BBE"/>
    <w:rsid w:val="0085179A"/>
    <w:rsid w:val="00852259"/>
    <w:rsid w:val="00853505"/>
    <w:rsid w:val="0085496B"/>
    <w:rsid w:val="00854F6E"/>
    <w:rsid w:val="008556C1"/>
    <w:rsid w:val="00855D31"/>
    <w:rsid w:val="008565FC"/>
    <w:rsid w:val="008568BC"/>
    <w:rsid w:val="0085699F"/>
    <w:rsid w:val="008571B3"/>
    <w:rsid w:val="00860284"/>
    <w:rsid w:val="00860635"/>
    <w:rsid w:val="00860E26"/>
    <w:rsid w:val="008615CC"/>
    <w:rsid w:val="0086166F"/>
    <w:rsid w:val="00863E9A"/>
    <w:rsid w:val="008641B7"/>
    <w:rsid w:val="00864F39"/>
    <w:rsid w:val="00865899"/>
    <w:rsid w:val="00865B4E"/>
    <w:rsid w:val="00865EFE"/>
    <w:rsid w:val="00866380"/>
    <w:rsid w:val="00866974"/>
    <w:rsid w:val="00866FDB"/>
    <w:rsid w:val="008670D8"/>
    <w:rsid w:val="00867C75"/>
    <w:rsid w:val="00871E23"/>
    <w:rsid w:val="00872544"/>
    <w:rsid w:val="008735DC"/>
    <w:rsid w:val="00873750"/>
    <w:rsid w:val="008737A3"/>
    <w:rsid w:val="00873FC8"/>
    <w:rsid w:val="00874A19"/>
    <w:rsid w:val="008752F0"/>
    <w:rsid w:val="0087587C"/>
    <w:rsid w:val="00875AB2"/>
    <w:rsid w:val="00877F83"/>
    <w:rsid w:val="00880A68"/>
    <w:rsid w:val="00880E53"/>
    <w:rsid w:val="008826A4"/>
    <w:rsid w:val="0088396D"/>
    <w:rsid w:val="00883F16"/>
    <w:rsid w:val="008840F3"/>
    <w:rsid w:val="008842A8"/>
    <w:rsid w:val="00886E39"/>
    <w:rsid w:val="00887729"/>
    <w:rsid w:val="00887CDC"/>
    <w:rsid w:val="0089007E"/>
    <w:rsid w:val="008905B9"/>
    <w:rsid w:val="008906ED"/>
    <w:rsid w:val="00891165"/>
    <w:rsid w:val="00891FD6"/>
    <w:rsid w:val="00893918"/>
    <w:rsid w:val="00893FE9"/>
    <w:rsid w:val="0089418C"/>
    <w:rsid w:val="00895176"/>
    <w:rsid w:val="008953E5"/>
    <w:rsid w:val="008961D2"/>
    <w:rsid w:val="00897A2C"/>
    <w:rsid w:val="00897FAF"/>
    <w:rsid w:val="008A06A4"/>
    <w:rsid w:val="008A07AB"/>
    <w:rsid w:val="008A0F52"/>
    <w:rsid w:val="008A1BD5"/>
    <w:rsid w:val="008A2ABF"/>
    <w:rsid w:val="008A4081"/>
    <w:rsid w:val="008A5379"/>
    <w:rsid w:val="008A5C99"/>
    <w:rsid w:val="008A693A"/>
    <w:rsid w:val="008A6E19"/>
    <w:rsid w:val="008B0B55"/>
    <w:rsid w:val="008B114A"/>
    <w:rsid w:val="008B37DE"/>
    <w:rsid w:val="008B4D09"/>
    <w:rsid w:val="008B70A7"/>
    <w:rsid w:val="008C15B3"/>
    <w:rsid w:val="008C17F7"/>
    <w:rsid w:val="008C1B25"/>
    <w:rsid w:val="008C237E"/>
    <w:rsid w:val="008C2ACF"/>
    <w:rsid w:val="008C316A"/>
    <w:rsid w:val="008C3207"/>
    <w:rsid w:val="008C39FF"/>
    <w:rsid w:val="008C4D43"/>
    <w:rsid w:val="008C4EE5"/>
    <w:rsid w:val="008C5010"/>
    <w:rsid w:val="008C5251"/>
    <w:rsid w:val="008C5A1B"/>
    <w:rsid w:val="008C7D65"/>
    <w:rsid w:val="008C7E60"/>
    <w:rsid w:val="008D0060"/>
    <w:rsid w:val="008D137F"/>
    <w:rsid w:val="008D24B0"/>
    <w:rsid w:val="008D306B"/>
    <w:rsid w:val="008D39A9"/>
    <w:rsid w:val="008D39D0"/>
    <w:rsid w:val="008D3AAE"/>
    <w:rsid w:val="008D492A"/>
    <w:rsid w:val="008D55B1"/>
    <w:rsid w:val="008D66AC"/>
    <w:rsid w:val="008E0444"/>
    <w:rsid w:val="008E08B6"/>
    <w:rsid w:val="008E0B50"/>
    <w:rsid w:val="008E2BB5"/>
    <w:rsid w:val="008E3C46"/>
    <w:rsid w:val="008E483C"/>
    <w:rsid w:val="008E57DF"/>
    <w:rsid w:val="008E5A70"/>
    <w:rsid w:val="008E64EB"/>
    <w:rsid w:val="008F05A0"/>
    <w:rsid w:val="008F101C"/>
    <w:rsid w:val="008F1C32"/>
    <w:rsid w:val="008F5E61"/>
    <w:rsid w:val="008F66E8"/>
    <w:rsid w:val="008F6773"/>
    <w:rsid w:val="008F769F"/>
    <w:rsid w:val="00901006"/>
    <w:rsid w:val="0090182A"/>
    <w:rsid w:val="009020E6"/>
    <w:rsid w:val="009024E9"/>
    <w:rsid w:val="00902DC6"/>
    <w:rsid w:val="00902EB2"/>
    <w:rsid w:val="0090335A"/>
    <w:rsid w:val="00903A72"/>
    <w:rsid w:val="00904733"/>
    <w:rsid w:val="0090478F"/>
    <w:rsid w:val="00906ACE"/>
    <w:rsid w:val="0091158D"/>
    <w:rsid w:val="00911CAD"/>
    <w:rsid w:val="00912096"/>
    <w:rsid w:val="009122F6"/>
    <w:rsid w:val="009129FE"/>
    <w:rsid w:val="00913320"/>
    <w:rsid w:val="009141F2"/>
    <w:rsid w:val="009146B8"/>
    <w:rsid w:val="0091527C"/>
    <w:rsid w:val="00915343"/>
    <w:rsid w:val="009153C7"/>
    <w:rsid w:val="00915668"/>
    <w:rsid w:val="009163E8"/>
    <w:rsid w:val="009169B6"/>
    <w:rsid w:val="00916BD2"/>
    <w:rsid w:val="009203F6"/>
    <w:rsid w:val="00921447"/>
    <w:rsid w:val="0092244F"/>
    <w:rsid w:val="00923CAA"/>
    <w:rsid w:val="00924038"/>
    <w:rsid w:val="00924819"/>
    <w:rsid w:val="009268BF"/>
    <w:rsid w:val="0093017D"/>
    <w:rsid w:val="0093055A"/>
    <w:rsid w:val="00932A90"/>
    <w:rsid w:val="009334AA"/>
    <w:rsid w:val="00934EF1"/>
    <w:rsid w:val="00935CA0"/>
    <w:rsid w:val="009360D6"/>
    <w:rsid w:val="0093713B"/>
    <w:rsid w:val="0093780A"/>
    <w:rsid w:val="00940CCE"/>
    <w:rsid w:val="00940FA8"/>
    <w:rsid w:val="00941547"/>
    <w:rsid w:val="00941D52"/>
    <w:rsid w:val="009428AC"/>
    <w:rsid w:val="00942BB5"/>
    <w:rsid w:val="009430BD"/>
    <w:rsid w:val="00944651"/>
    <w:rsid w:val="00945B6E"/>
    <w:rsid w:val="00945CAC"/>
    <w:rsid w:val="00945D95"/>
    <w:rsid w:val="00945EF8"/>
    <w:rsid w:val="00946462"/>
    <w:rsid w:val="009478A2"/>
    <w:rsid w:val="00950E86"/>
    <w:rsid w:val="0095102C"/>
    <w:rsid w:val="0095180D"/>
    <w:rsid w:val="00952B18"/>
    <w:rsid w:val="00954063"/>
    <w:rsid w:val="00954120"/>
    <w:rsid w:val="00954D1A"/>
    <w:rsid w:val="009571F4"/>
    <w:rsid w:val="00957391"/>
    <w:rsid w:val="00960155"/>
    <w:rsid w:val="009606CF"/>
    <w:rsid w:val="00960B11"/>
    <w:rsid w:val="00960CE8"/>
    <w:rsid w:val="009622B2"/>
    <w:rsid w:val="00962608"/>
    <w:rsid w:val="00962B5A"/>
    <w:rsid w:val="00965A1B"/>
    <w:rsid w:val="00965EF0"/>
    <w:rsid w:val="009664FE"/>
    <w:rsid w:val="00966611"/>
    <w:rsid w:val="00967D75"/>
    <w:rsid w:val="00967E29"/>
    <w:rsid w:val="009718AC"/>
    <w:rsid w:val="0097321B"/>
    <w:rsid w:val="00973773"/>
    <w:rsid w:val="00973F73"/>
    <w:rsid w:val="0097517D"/>
    <w:rsid w:val="00975289"/>
    <w:rsid w:val="00976981"/>
    <w:rsid w:val="00977D9C"/>
    <w:rsid w:val="00977FFD"/>
    <w:rsid w:val="00982D2E"/>
    <w:rsid w:val="00982DAC"/>
    <w:rsid w:val="00982DC1"/>
    <w:rsid w:val="009850D7"/>
    <w:rsid w:val="00985C69"/>
    <w:rsid w:val="00987488"/>
    <w:rsid w:val="009877AD"/>
    <w:rsid w:val="00987E00"/>
    <w:rsid w:val="0099044D"/>
    <w:rsid w:val="009907C0"/>
    <w:rsid w:val="0099194C"/>
    <w:rsid w:val="00991CD9"/>
    <w:rsid w:val="00992B01"/>
    <w:rsid w:val="00992C28"/>
    <w:rsid w:val="00992D7F"/>
    <w:rsid w:val="00995210"/>
    <w:rsid w:val="009961D1"/>
    <w:rsid w:val="00996B29"/>
    <w:rsid w:val="0099767B"/>
    <w:rsid w:val="009A01D2"/>
    <w:rsid w:val="009A0443"/>
    <w:rsid w:val="009A3E4C"/>
    <w:rsid w:val="009A4BDD"/>
    <w:rsid w:val="009A521F"/>
    <w:rsid w:val="009A5231"/>
    <w:rsid w:val="009A54F8"/>
    <w:rsid w:val="009A5EF9"/>
    <w:rsid w:val="009A63BA"/>
    <w:rsid w:val="009A6E43"/>
    <w:rsid w:val="009A7DB2"/>
    <w:rsid w:val="009B02AC"/>
    <w:rsid w:val="009B2461"/>
    <w:rsid w:val="009B254E"/>
    <w:rsid w:val="009B2F59"/>
    <w:rsid w:val="009B3900"/>
    <w:rsid w:val="009B3AAE"/>
    <w:rsid w:val="009B40E0"/>
    <w:rsid w:val="009B6BD5"/>
    <w:rsid w:val="009B741A"/>
    <w:rsid w:val="009B74A6"/>
    <w:rsid w:val="009B7B5A"/>
    <w:rsid w:val="009B7C5B"/>
    <w:rsid w:val="009C02CE"/>
    <w:rsid w:val="009C04BE"/>
    <w:rsid w:val="009C0C0C"/>
    <w:rsid w:val="009C0E50"/>
    <w:rsid w:val="009C2EC4"/>
    <w:rsid w:val="009C41E5"/>
    <w:rsid w:val="009C557F"/>
    <w:rsid w:val="009C75F7"/>
    <w:rsid w:val="009C7834"/>
    <w:rsid w:val="009C7D35"/>
    <w:rsid w:val="009D415B"/>
    <w:rsid w:val="009D481D"/>
    <w:rsid w:val="009D545F"/>
    <w:rsid w:val="009D77A8"/>
    <w:rsid w:val="009E17C0"/>
    <w:rsid w:val="009E1855"/>
    <w:rsid w:val="009E1FCF"/>
    <w:rsid w:val="009E3CB7"/>
    <w:rsid w:val="009E3D62"/>
    <w:rsid w:val="009E438E"/>
    <w:rsid w:val="009E4D11"/>
    <w:rsid w:val="009E5DE1"/>
    <w:rsid w:val="009E605A"/>
    <w:rsid w:val="009E6878"/>
    <w:rsid w:val="009E6A78"/>
    <w:rsid w:val="009E6C23"/>
    <w:rsid w:val="009E7D64"/>
    <w:rsid w:val="009F0C2B"/>
    <w:rsid w:val="009F1393"/>
    <w:rsid w:val="009F3376"/>
    <w:rsid w:val="009F40C9"/>
    <w:rsid w:val="009F4BF3"/>
    <w:rsid w:val="009F4CC5"/>
    <w:rsid w:val="009F7364"/>
    <w:rsid w:val="009F7967"/>
    <w:rsid w:val="009F7A93"/>
    <w:rsid w:val="009F7C99"/>
    <w:rsid w:val="00A018EB"/>
    <w:rsid w:val="00A01B12"/>
    <w:rsid w:val="00A02CC9"/>
    <w:rsid w:val="00A02D1F"/>
    <w:rsid w:val="00A02F3D"/>
    <w:rsid w:val="00A03024"/>
    <w:rsid w:val="00A0377F"/>
    <w:rsid w:val="00A03911"/>
    <w:rsid w:val="00A04A78"/>
    <w:rsid w:val="00A05609"/>
    <w:rsid w:val="00A057B8"/>
    <w:rsid w:val="00A0700A"/>
    <w:rsid w:val="00A07EE7"/>
    <w:rsid w:val="00A117FA"/>
    <w:rsid w:val="00A11BF7"/>
    <w:rsid w:val="00A127CF"/>
    <w:rsid w:val="00A13F94"/>
    <w:rsid w:val="00A14023"/>
    <w:rsid w:val="00A142E6"/>
    <w:rsid w:val="00A1538B"/>
    <w:rsid w:val="00A15A8F"/>
    <w:rsid w:val="00A166BF"/>
    <w:rsid w:val="00A167A1"/>
    <w:rsid w:val="00A17009"/>
    <w:rsid w:val="00A17599"/>
    <w:rsid w:val="00A17FF9"/>
    <w:rsid w:val="00A20243"/>
    <w:rsid w:val="00A2067D"/>
    <w:rsid w:val="00A20BF7"/>
    <w:rsid w:val="00A220BF"/>
    <w:rsid w:val="00A222CF"/>
    <w:rsid w:val="00A22D08"/>
    <w:rsid w:val="00A24160"/>
    <w:rsid w:val="00A25E20"/>
    <w:rsid w:val="00A26021"/>
    <w:rsid w:val="00A268A8"/>
    <w:rsid w:val="00A311F0"/>
    <w:rsid w:val="00A31F8C"/>
    <w:rsid w:val="00A32338"/>
    <w:rsid w:val="00A3252B"/>
    <w:rsid w:val="00A32AED"/>
    <w:rsid w:val="00A3301B"/>
    <w:rsid w:val="00A33210"/>
    <w:rsid w:val="00A33C45"/>
    <w:rsid w:val="00A33EC1"/>
    <w:rsid w:val="00A358A1"/>
    <w:rsid w:val="00A3606A"/>
    <w:rsid w:val="00A364E6"/>
    <w:rsid w:val="00A36B39"/>
    <w:rsid w:val="00A402B1"/>
    <w:rsid w:val="00A40646"/>
    <w:rsid w:val="00A40DDC"/>
    <w:rsid w:val="00A40EEA"/>
    <w:rsid w:val="00A4190A"/>
    <w:rsid w:val="00A426E6"/>
    <w:rsid w:val="00A47357"/>
    <w:rsid w:val="00A5085A"/>
    <w:rsid w:val="00A50AD2"/>
    <w:rsid w:val="00A50AEB"/>
    <w:rsid w:val="00A511E2"/>
    <w:rsid w:val="00A5355F"/>
    <w:rsid w:val="00A53A7D"/>
    <w:rsid w:val="00A545DD"/>
    <w:rsid w:val="00A54A31"/>
    <w:rsid w:val="00A56C9E"/>
    <w:rsid w:val="00A578D4"/>
    <w:rsid w:val="00A6002D"/>
    <w:rsid w:val="00A611B8"/>
    <w:rsid w:val="00A6266B"/>
    <w:rsid w:val="00A63A8D"/>
    <w:rsid w:val="00A63C16"/>
    <w:rsid w:val="00A644AF"/>
    <w:rsid w:val="00A664F1"/>
    <w:rsid w:val="00A73F32"/>
    <w:rsid w:val="00A7565B"/>
    <w:rsid w:val="00A75CE8"/>
    <w:rsid w:val="00A763DF"/>
    <w:rsid w:val="00A77419"/>
    <w:rsid w:val="00A80B41"/>
    <w:rsid w:val="00A80B7B"/>
    <w:rsid w:val="00A82780"/>
    <w:rsid w:val="00A82D7F"/>
    <w:rsid w:val="00A834BB"/>
    <w:rsid w:val="00A83846"/>
    <w:rsid w:val="00A849B2"/>
    <w:rsid w:val="00A84F48"/>
    <w:rsid w:val="00A87414"/>
    <w:rsid w:val="00A87C0B"/>
    <w:rsid w:val="00A90C2B"/>
    <w:rsid w:val="00A914BB"/>
    <w:rsid w:val="00A914C7"/>
    <w:rsid w:val="00A91512"/>
    <w:rsid w:val="00A92E99"/>
    <w:rsid w:val="00A96150"/>
    <w:rsid w:val="00A96A06"/>
    <w:rsid w:val="00A97D58"/>
    <w:rsid w:val="00AA0F26"/>
    <w:rsid w:val="00AA178D"/>
    <w:rsid w:val="00AA224D"/>
    <w:rsid w:val="00AA2EA1"/>
    <w:rsid w:val="00AA4A96"/>
    <w:rsid w:val="00AA4DB2"/>
    <w:rsid w:val="00AA6128"/>
    <w:rsid w:val="00AA666B"/>
    <w:rsid w:val="00AB08FE"/>
    <w:rsid w:val="00AB1801"/>
    <w:rsid w:val="00AB1CDA"/>
    <w:rsid w:val="00AB1FAD"/>
    <w:rsid w:val="00AB3BBA"/>
    <w:rsid w:val="00AB50CC"/>
    <w:rsid w:val="00AB5B60"/>
    <w:rsid w:val="00AB5DDC"/>
    <w:rsid w:val="00AB5F9E"/>
    <w:rsid w:val="00AB6CC1"/>
    <w:rsid w:val="00AB6FB3"/>
    <w:rsid w:val="00AB76F2"/>
    <w:rsid w:val="00AB7805"/>
    <w:rsid w:val="00AB7AA3"/>
    <w:rsid w:val="00AC15CA"/>
    <w:rsid w:val="00AC2131"/>
    <w:rsid w:val="00AC22F4"/>
    <w:rsid w:val="00AC4005"/>
    <w:rsid w:val="00AC43AA"/>
    <w:rsid w:val="00AC5103"/>
    <w:rsid w:val="00AD0198"/>
    <w:rsid w:val="00AD14F9"/>
    <w:rsid w:val="00AD1F93"/>
    <w:rsid w:val="00AD279C"/>
    <w:rsid w:val="00AD2A79"/>
    <w:rsid w:val="00AD2B69"/>
    <w:rsid w:val="00AD2DCA"/>
    <w:rsid w:val="00AD2F1A"/>
    <w:rsid w:val="00AD3559"/>
    <w:rsid w:val="00AD3770"/>
    <w:rsid w:val="00AD4555"/>
    <w:rsid w:val="00AD4898"/>
    <w:rsid w:val="00AD5AFE"/>
    <w:rsid w:val="00AD6A8F"/>
    <w:rsid w:val="00AD6EBE"/>
    <w:rsid w:val="00AE093F"/>
    <w:rsid w:val="00AE0E9D"/>
    <w:rsid w:val="00AE33B4"/>
    <w:rsid w:val="00AE3C37"/>
    <w:rsid w:val="00AE4251"/>
    <w:rsid w:val="00AE442C"/>
    <w:rsid w:val="00AE5D9D"/>
    <w:rsid w:val="00AE6520"/>
    <w:rsid w:val="00AE6B04"/>
    <w:rsid w:val="00AE7A3D"/>
    <w:rsid w:val="00AE7F16"/>
    <w:rsid w:val="00AF2D40"/>
    <w:rsid w:val="00AF2F08"/>
    <w:rsid w:val="00AF3EC3"/>
    <w:rsid w:val="00AF49B0"/>
    <w:rsid w:val="00AF4A4A"/>
    <w:rsid w:val="00AF4CE7"/>
    <w:rsid w:val="00AF638E"/>
    <w:rsid w:val="00AF70C4"/>
    <w:rsid w:val="00AF7177"/>
    <w:rsid w:val="00AF7ACB"/>
    <w:rsid w:val="00B0078E"/>
    <w:rsid w:val="00B01068"/>
    <w:rsid w:val="00B01CC3"/>
    <w:rsid w:val="00B0201F"/>
    <w:rsid w:val="00B0356E"/>
    <w:rsid w:val="00B0426C"/>
    <w:rsid w:val="00B045A6"/>
    <w:rsid w:val="00B05486"/>
    <w:rsid w:val="00B06D36"/>
    <w:rsid w:val="00B073F6"/>
    <w:rsid w:val="00B0793D"/>
    <w:rsid w:val="00B07BF2"/>
    <w:rsid w:val="00B105E6"/>
    <w:rsid w:val="00B106A4"/>
    <w:rsid w:val="00B109F3"/>
    <w:rsid w:val="00B10D36"/>
    <w:rsid w:val="00B10F3F"/>
    <w:rsid w:val="00B126BA"/>
    <w:rsid w:val="00B13325"/>
    <w:rsid w:val="00B1385D"/>
    <w:rsid w:val="00B13B6A"/>
    <w:rsid w:val="00B14251"/>
    <w:rsid w:val="00B14BEF"/>
    <w:rsid w:val="00B152E2"/>
    <w:rsid w:val="00B1559D"/>
    <w:rsid w:val="00B15E82"/>
    <w:rsid w:val="00B162F4"/>
    <w:rsid w:val="00B16339"/>
    <w:rsid w:val="00B20E0B"/>
    <w:rsid w:val="00B21284"/>
    <w:rsid w:val="00B23320"/>
    <w:rsid w:val="00B24044"/>
    <w:rsid w:val="00B24E23"/>
    <w:rsid w:val="00B25A45"/>
    <w:rsid w:val="00B25B3D"/>
    <w:rsid w:val="00B25CA4"/>
    <w:rsid w:val="00B260A3"/>
    <w:rsid w:val="00B26725"/>
    <w:rsid w:val="00B2692C"/>
    <w:rsid w:val="00B26EF0"/>
    <w:rsid w:val="00B2782D"/>
    <w:rsid w:val="00B27865"/>
    <w:rsid w:val="00B30021"/>
    <w:rsid w:val="00B3009B"/>
    <w:rsid w:val="00B31C62"/>
    <w:rsid w:val="00B3276F"/>
    <w:rsid w:val="00B32795"/>
    <w:rsid w:val="00B352B2"/>
    <w:rsid w:val="00B35F4A"/>
    <w:rsid w:val="00B36412"/>
    <w:rsid w:val="00B3691E"/>
    <w:rsid w:val="00B36B24"/>
    <w:rsid w:val="00B36D28"/>
    <w:rsid w:val="00B37267"/>
    <w:rsid w:val="00B403B1"/>
    <w:rsid w:val="00B4123E"/>
    <w:rsid w:val="00B4172B"/>
    <w:rsid w:val="00B43750"/>
    <w:rsid w:val="00B450B3"/>
    <w:rsid w:val="00B45398"/>
    <w:rsid w:val="00B45B79"/>
    <w:rsid w:val="00B45F26"/>
    <w:rsid w:val="00B4792C"/>
    <w:rsid w:val="00B47BA9"/>
    <w:rsid w:val="00B50B34"/>
    <w:rsid w:val="00B5109D"/>
    <w:rsid w:val="00B523AE"/>
    <w:rsid w:val="00B53F4E"/>
    <w:rsid w:val="00B54491"/>
    <w:rsid w:val="00B548D3"/>
    <w:rsid w:val="00B55152"/>
    <w:rsid w:val="00B55A2F"/>
    <w:rsid w:val="00B55D3D"/>
    <w:rsid w:val="00B56FC6"/>
    <w:rsid w:val="00B575E4"/>
    <w:rsid w:val="00B6094C"/>
    <w:rsid w:val="00B62268"/>
    <w:rsid w:val="00B62603"/>
    <w:rsid w:val="00B63D26"/>
    <w:rsid w:val="00B66234"/>
    <w:rsid w:val="00B67375"/>
    <w:rsid w:val="00B70192"/>
    <w:rsid w:val="00B70485"/>
    <w:rsid w:val="00B70A69"/>
    <w:rsid w:val="00B714C0"/>
    <w:rsid w:val="00B720D1"/>
    <w:rsid w:val="00B72CC3"/>
    <w:rsid w:val="00B73372"/>
    <w:rsid w:val="00B73E85"/>
    <w:rsid w:val="00B74AB1"/>
    <w:rsid w:val="00B7568D"/>
    <w:rsid w:val="00B75C26"/>
    <w:rsid w:val="00B761BB"/>
    <w:rsid w:val="00B764EC"/>
    <w:rsid w:val="00B802C9"/>
    <w:rsid w:val="00B81665"/>
    <w:rsid w:val="00B818C2"/>
    <w:rsid w:val="00B855B3"/>
    <w:rsid w:val="00B869BB"/>
    <w:rsid w:val="00B86DD2"/>
    <w:rsid w:val="00B870AD"/>
    <w:rsid w:val="00B9033D"/>
    <w:rsid w:val="00B91055"/>
    <w:rsid w:val="00B92C95"/>
    <w:rsid w:val="00B94406"/>
    <w:rsid w:val="00B953C2"/>
    <w:rsid w:val="00B95F2A"/>
    <w:rsid w:val="00B96374"/>
    <w:rsid w:val="00B964FE"/>
    <w:rsid w:val="00B976CD"/>
    <w:rsid w:val="00BA0B3C"/>
    <w:rsid w:val="00BA0C48"/>
    <w:rsid w:val="00BA19AF"/>
    <w:rsid w:val="00BA19C7"/>
    <w:rsid w:val="00BA2DC8"/>
    <w:rsid w:val="00BA359C"/>
    <w:rsid w:val="00BA39D6"/>
    <w:rsid w:val="00BA59FD"/>
    <w:rsid w:val="00BA5BDB"/>
    <w:rsid w:val="00BA6541"/>
    <w:rsid w:val="00BA6EDD"/>
    <w:rsid w:val="00BA73E0"/>
    <w:rsid w:val="00BB1EE8"/>
    <w:rsid w:val="00BB2381"/>
    <w:rsid w:val="00BB39AF"/>
    <w:rsid w:val="00BB3C32"/>
    <w:rsid w:val="00BB3DA4"/>
    <w:rsid w:val="00BB3DA9"/>
    <w:rsid w:val="00BB40B6"/>
    <w:rsid w:val="00BB47A4"/>
    <w:rsid w:val="00BB4F68"/>
    <w:rsid w:val="00BB5774"/>
    <w:rsid w:val="00BC00D1"/>
    <w:rsid w:val="00BC0D7A"/>
    <w:rsid w:val="00BC3349"/>
    <w:rsid w:val="00BC3FD1"/>
    <w:rsid w:val="00BC40D1"/>
    <w:rsid w:val="00BC4BA6"/>
    <w:rsid w:val="00BC5269"/>
    <w:rsid w:val="00BC52CC"/>
    <w:rsid w:val="00BC5E36"/>
    <w:rsid w:val="00BC6571"/>
    <w:rsid w:val="00BC671E"/>
    <w:rsid w:val="00BD00F6"/>
    <w:rsid w:val="00BD01EC"/>
    <w:rsid w:val="00BD05E4"/>
    <w:rsid w:val="00BD1C5D"/>
    <w:rsid w:val="00BD39CE"/>
    <w:rsid w:val="00BD3F67"/>
    <w:rsid w:val="00BD5784"/>
    <w:rsid w:val="00BD6DE0"/>
    <w:rsid w:val="00BD7E4C"/>
    <w:rsid w:val="00BE074B"/>
    <w:rsid w:val="00BE15B1"/>
    <w:rsid w:val="00BE1F0A"/>
    <w:rsid w:val="00BE3302"/>
    <w:rsid w:val="00BE3BB8"/>
    <w:rsid w:val="00BE54B0"/>
    <w:rsid w:val="00BE7CAA"/>
    <w:rsid w:val="00BF094D"/>
    <w:rsid w:val="00BF1F87"/>
    <w:rsid w:val="00BF2533"/>
    <w:rsid w:val="00BF2F9B"/>
    <w:rsid w:val="00BF32C0"/>
    <w:rsid w:val="00BF42F3"/>
    <w:rsid w:val="00BF48C1"/>
    <w:rsid w:val="00BF49E8"/>
    <w:rsid w:val="00BF52D6"/>
    <w:rsid w:val="00BF6605"/>
    <w:rsid w:val="00BF6AA9"/>
    <w:rsid w:val="00C00234"/>
    <w:rsid w:val="00C00BCD"/>
    <w:rsid w:val="00C0183F"/>
    <w:rsid w:val="00C01FC7"/>
    <w:rsid w:val="00C02528"/>
    <w:rsid w:val="00C027A0"/>
    <w:rsid w:val="00C02B7E"/>
    <w:rsid w:val="00C02E14"/>
    <w:rsid w:val="00C04892"/>
    <w:rsid w:val="00C05B75"/>
    <w:rsid w:val="00C05DAE"/>
    <w:rsid w:val="00C102C3"/>
    <w:rsid w:val="00C12A78"/>
    <w:rsid w:val="00C12BCA"/>
    <w:rsid w:val="00C12F35"/>
    <w:rsid w:val="00C13CC6"/>
    <w:rsid w:val="00C13FCC"/>
    <w:rsid w:val="00C15818"/>
    <w:rsid w:val="00C16DAD"/>
    <w:rsid w:val="00C2032D"/>
    <w:rsid w:val="00C205E5"/>
    <w:rsid w:val="00C21DCA"/>
    <w:rsid w:val="00C229C1"/>
    <w:rsid w:val="00C22CFA"/>
    <w:rsid w:val="00C230B5"/>
    <w:rsid w:val="00C23ED0"/>
    <w:rsid w:val="00C242C4"/>
    <w:rsid w:val="00C24351"/>
    <w:rsid w:val="00C2609F"/>
    <w:rsid w:val="00C26B20"/>
    <w:rsid w:val="00C26F67"/>
    <w:rsid w:val="00C27A8E"/>
    <w:rsid w:val="00C30390"/>
    <w:rsid w:val="00C3091A"/>
    <w:rsid w:val="00C310B9"/>
    <w:rsid w:val="00C31A26"/>
    <w:rsid w:val="00C3373C"/>
    <w:rsid w:val="00C33E11"/>
    <w:rsid w:val="00C34C00"/>
    <w:rsid w:val="00C354F1"/>
    <w:rsid w:val="00C35BEA"/>
    <w:rsid w:val="00C35FBB"/>
    <w:rsid w:val="00C3670E"/>
    <w:rsid w:val="00C36736"/>
    <w:rsid w:val="00C40D9F"/>
    <w:rsid w:val="00C4109E"/>
    <w:rsid w:val="00C4128E"/>
    <w:rsid w:val="00C42E77"/>
    <w:rsid w:val="00C4491A"/>
    <w:rsid w:val="00C454AE"/>
    <w:rsid w:val="00C45778"/>
    <w:rsid w:val="00C45AEE"/>
    <w:rsid w:val="00C45F49"/>
    <w:rsid w:val="00C4603F"/>
    <w:rsid w:val="00C4687D"/>
    <w:rsid w:val="00C47DC6"/>
    <w:rsid w:val="00C514DB"/>
    <w:rsid w:val="00C51A95"/>
    <w:rsid w:val="00C52211"/>
    <w:rsid w:val="00C52D1C"/>
    <w:rsid w:val="00C54C70"/>
    <w:rsid w:val="00C56795"/>
    <w:rsid w:val="00C5737A"/>
    <w:rsid w:val="00C61034"/>
    <w:rsid w:val="00C61891"/>
    <w:rsid w:val="00C62C53"/>
    <w:rsid w:val="00C6339F"/>
    <w:rsid w:val="00C6348B"/>
    <w:rsid w:val="00C635BE"/>
    <w:rsid w:val="00C63B19"/>
    <w:rsid w:val="00C63F96"/>
    <w:rsid w:val="00C64275"/>
    <w:rsid w:val="00C64653"/>
    <w:rsid w:val="00C65081"/>
    <w:rsid w:val="00C66203"/>
    <w:rsid w:val="00C66974"/>
    <w:rsid w:val="00C6766A"/>
    <w:rsid w:val="00C7212D"/>
    <w:rsid w:val="00C73CE9"/>
    <w:rsid w:val="00C75BD1"/>
    <w:rsid w:val="00C76052"/>
    <w:rsid w:val="00C76582"/>
    <w:rsid w:val="00C7665A"/>
    <w:rsid w:val="00C76924"/>
    <w:rsid w:val="00C76AE2"/>
    <w:rsid w:val="00C80E70"/>
    <w:rsid w:val="00C8356D"/>
    <w:rsid w:val="00C84608"/>
    <w:rsid w:val="00C849EC"/>
    <w:rsid w:val="00C85197"/>
    <w:rsid w:val="00C85AF3"/>
    <w:rsid w:val="00C87608"/>
    <w:rsid w:val="00C87838"/>
    <w:rsid w:val="00C90137"/>
    <w:rsid w:val="00C902E0"/>
    <w:rsid w:val="00C93000"/>
    <w:rsid w:val="00C9340C"/>
    <w:rsid w:val="00C93512"/>
    <w:rsid w:val="00C9409A"/>
    <w:rsid w:val="00C944FD"/>
    <w:rsid w:val="00C950B7"/>
    <w:rsid w:val="00C965F1"/>
    <w:rsid w:val="00C9681F"/>
    <w:rsid w:val="00C96AD2"/>
    <w:rsid w:val="00C97164"/>
    <w:rsid w:val="00CA01BF"/>
    <w:rsid w:val="00CA1532"/>
    <w:rsid w:val="00CA3D39"/>
    <w:rsid w:val="00CA3EFD"/>
    <w:rsid w:val="00CA3F24"/>
    <w:rsid w:val="00CA478D"/>
    <w:rsid w:val="00CA5999"/>
    <w:rsid w:val="00CA614B"/>
    <w:rsid w:val="00CA688E"/>
    <w:rsid w:val="00CB0B45"/>
    <w:rsid w:val="00CB1876"/>
    <w:rsid w:val="00CB277B"/>
    <w:rsid w:val="00CB51BF"/>
    <w:rsid w:val="00CB596C"/>
    <w:rsid w:val="00CB65A0"/>
    <w:rsid w:val="00CB67F5"/>
    <w:rsid w:val="00CB71E1"/>
    <w:rsid w:val="00CB7948"/>
    <w:rsid w:val="00CC0C2E"/>
    <w:rsid w:val="00CC1F66"/>
    <w:rsid w:val="00CC2A20"/>
    <w:rsid w:val="00CC3B8A"/>
    <w:rsid w:val="00CC49C4"/>
    <w:rsid w:val="00CC61BA"/>
    <w:rsid w:val="00CC63CE"/>
    <w:rsid w:val="00CC7BE9"/>
    <w:rsid w:val="00CD015D"/>
    <w:rsid w:val="00CD04B6"/>
    <w:rsid w:val="00CD0566"/>
    <w:rsid w:val="00CD0A8F"/>
    <w:rsid w:val="00CD11B3"/>
    <w:rsid w:val="00CD153E"/>
    <w:rsid w:val="00CD43A4"/>
    <w:rsid w:val="00CD5B6D"/>
    <w:rsid w:val="00CD5F35"/>
    <w:rsid w:val="00CD63D0"/>
    <w:rsid w:val="00CD67EB"/>
    <w:rsid w:val="00CD78A4"/>
    <w:rsid w:val="00CD7A28"/>
    <w:rsid w:val="00CE02C8"/>
    <w:rsid w:val="00CE06F1"/>
    <w:rsid w:val="00CE1949"/>
    <w:rsid w:val="00CE2906"/>
    <w:rsid w:val="00CE59DC"/>
    <w:rsid w:val="00CE6081"/>
    <w:rsid w:val="00CE6376"/>
    <w:rsid w:val="00CF0DE9"/>
    <w:rsid w:val="00CF17D5"/>
    <w:rsid w:val="00CF1A67"/>
    <w:rsid w:val="00CF212F"/>
    <w:rsid w:val="00CF4031"/>
    <w:rsid w:val="00CF4608"/>
    <w:rsid w:val="00CF4AE4"/>
    <w:rsid w:val="00CF54A5"/>
    <w:rsid w:val="00CF6514"/>
    <w:rsid w:val="00CF69A1"/>
    <w:rsid w:val="00CF6A02"/>
    <w:rsid w:val="00CF6F95"/>
    <w:rsid w:val="00CF738A"/>
    <w:rsid w:val="00CF7F4C"/>
    <w:rsid w:val="00D0008E"/>
    <w:rsid w:val="00D00AD4"/>
    <w:rsid w:val="00D03B60"/>
    <w:rsid w:val="00D04129"/>
    <w:rsid w:val="00D042E4"/>
    <w:rsid w:val="00D06B58"/>
    <w:rsid w:val="00D07DB8"/>
    <w:rsid w:val="00D07EAD"/>
    <w:rsid w:val="00D07F79"/>
    <w:rsid w:val="00D10348"/>
    <w:rsid w:val="00D11494"/>
    <w:rsid w:val="00D11718"/>
    <w:rsid w:val="00D122FD"/>
    <w:rsid w:val="00D12F44"/>
    <w:rsid w:val="00D1389C"/>
    <w:rsid w:val="00D13B0B"/>
    <w:rsid w:val="00D145B8"/>
    <w:rsid w:val="00D14BB9"/>
    <w:rsid w:val="00D150B3"/>
    <w:rsid w:val="00D15D32"/>
    <w:rsid w:val="00D16D62"/>
    <w:rsid w:val="00D16E67"/>
    <w:rsid w:val="00D202FA"/>
    <w:rsid w:val="00D20A00"/>
    <w:rsid w:val="00D21151"/>
    <w:rsid w:val="00D21CFD"/>
    <w:rsid w:val="00D22271"/>
    <w:rsid w:val="00D22DB2"/>
    <w:rsid w:val="00D23118"/>
    <w:rsid w:val="00D2419D"/>
    <w:rsid w:val="00D246AB"/>
    <w:rsid w:val="00D2506F"/>
    <w:rsid w:val="00D26DB4"/>
    <w:rsid w:val="00D27638"/>
    <w:rsid w:val="00D27E57"/>
    <w:rsid w:val="00D30A3B"/>
    <w:rsid w:val="00D30B31"/>
    <w:rsid w:val="00D3262E"/>
    <w:rsid w:val="00D330A7"/>
    <w:rsid w:val="00D33644"/>
    <w:rsid w:val="00D345D6"/>
    <w:rsid w:val="00D3484B"/>
    <w:rsid w:val="00D34DD8"/>
    <w:rsid w:val="00D350DB"/>
    <w:rsid w:val="00D35DB6"/>
    <w:rsid w:val="00D37466"/>
    <w:rsid w:val="00D42943"/>
    <w:rsid w:val="00D431B1"/>
    <w:rsid w:val="00D4431E"/>
    <w:rsid w:val="00D44C71"/>
    <w:rsid w:val="00D451D3"/>
    <w:rsid w:val="00D45509"/>
    <w:rsid w:val="00D46DBD"/>
    <w:rsid w:val="00D46EB3"/>
    <w:rsid w:val="00D46FE2"/>
    <w:rsid w:val="00D47EE2"/>
    <w:rsid w:val="00D50EFD"/>
    <w:rsid w:val="00D517B9"/>
    <w:rsid w:val="00D51BEB"/>
    <w:rsid w:val="00D53366"/>
    <w:rsid w:val="00D54400"/>
    <w:rsid w:val="00D54518"/>
    <w:rsid w:val="00D54D24"/>
    <w:rsid w:val="00D56EC4"/>
    <w:rsid w:val="00D578EE"/>
    <w:rsid w:val="00D57F6F"/>
    <w:rsid w:val="00D60464"/>
    <w:rsid w:val="00D604BF"/>
    <w:rsid w:val="00D608A5"/>
    <w:rsid w:val="00D61DD9"/>
    <w:rsid w:val="00D62BD5"/>
    <w:rsid w:val="00D635C8"/>
    <w:rsid w:val="00D638A5"/>
    <w:rsid w:val="00D63FF1"/>
    <w:rsid w:val="00D65DF6"/>
    <w:rsid w:val="00D663BA"/>
    <w:rsid w:val="00D66A32"/>
    <w:rsid w:val="00D674CE"/>
    <w:rsid w:val="00D67518"/>
    <w:rsid w:val="00D71702"/>
    <w:rsid w:val="00D71EE4"/>
    <w:rsid w:val="00D724E8"/>
    <w:rsid w:val="00D7272A"/>
    <w:rsid w:val="00D732FC"/>
    <w:rsid w:val="00D733C2"/>
    <w:rsid w:val="00D73E88"/>
    <w:rsid w:val="00D7498D"/>
    <w:rsid w:val="00D76A3D"/>
    <w:rsid w:val="00D76C8F"/>
    <w:rsid w:val="00D772EB"/>
    <w:rsid w:val="00D80107"/>
    <w:rsid w:val="00D80237"/>
    <w:rsid w:val="00D808B0"/>
    <w:rsid w:val="00D809C9"/>
    <w:rsid w:val="00D8261A"/>
    <w:rsid w:val="00D83425"/>
    <w:rsid w:val="00D8377E"/>
    <w:rsid w:val="00D8639D"/>
    <w:rsid w:val="00D863F2"/>
    <w:rsid w:val="00D86C37"/>
    <w:rsid w:val="00D87380"/>
    <w:rsid w:val="00D87C2C"/>
    <w:rsid w:val="00D90622"/>
    <w:rsid w:val="00D90848"/>
    <w:rsid w:val="00D90A51"/>
    <w:rsid w:val="00D91050"/>
    <w:rsid w:val="00D91B17"/>
    <w:rsid w:val="00D91CCF"/>
    <w:rsid w:val="00D92C38"/>
    <w:rsid w:val="00D92D3A"/>
    <w:rsid w:val="00D935B0"/>
    <w:rsid w:val="00D93966"/>
    <w:rsid w:val="00D94495"/>
    <w:rsid w:val="00D95415"/>
    <w:rsid w:val="00D95470"/>
    <w:rsid w:val="00D95730"/>
    <w:rsid w:val="00D95D21"/>
    <w:rsid w:val="00D97C8B"/>
    <w:rsid w:val="00DA0705"/>
    <w:rsid w:val="00DA074A"/>
    <w:rsid w:val="00DA1F8A"/>
    <w:rsid w:val="00DA30A4"/>
    <w:rsid w:val="00DA36DA"/>
    <w:rsid w:val="00DA5563"/>
    <w:rsid w:val="00DA5D44"/>
    <w:rsid w:val="00DA5E9F"/>
    <w:rsid w:val="00DA63AD"/>
    <w:rsid w:val="00DA6A1F"/>
    <w:rsid w:val="00DA72BD"/>
    <w:rsid w:val="00DB187F"/>
    <w:rsid w:val="00DB1F35"/>
    <w:rsid w:val="00DB2C93"/>
    <w:rsid w:val="00DB611C"/>
    <w:rsid w:val="00DB6BF8"/>
    <w:rsid w:val="00DB73AD"/>
    <w:rsid w:val="00DC07F7"/>
    <w:rsid w:val="00DC14AB"/>
    <w:rsid w:val="00DC218F"/>
    <w:rsid w:val="00DC3F67"/>
    <w:rsid w:val="00DC4866"/>
    <w:rsid w:val="00DC491C"/>
    <w:rsid w:val="00DC5A0C"/>
    <w:rsid w:val="00DC7B06"/>
    <w:rsid w:val="00DC7F8C"/>
    <w:rsid w:val="00DD18CC"/>
    <w:rsid w:val="00DD1B68"/>
    <w:rsid w:val="00DD2893"/>
    <w:rsid w:val="00DD2E60"/>
    <w:rsid w:val="00DD2FF7"/>
    <w:rsid w:val="00DD3841"/>
    <w:rsid w:val="00DD54F0"/>
    <w:rsid w:val="00DD55E8"/>
    <w:rsid w:val="00DD62F8"/>
    <w:rsid w:val="00DD6CB8"/>
    <w:rsid w:val="00DD7A48"/>
    <w:rsid w:val="00DD7ECA"/>
    <w:rsid w:val="00DE2829"/>
    <w:rsid w:val="00DE3E14"/>
    <w:rsid w:val="00DE49A9"/>
    <w:rsid w:val="00DE4BAD"/>
    <w:rsid w:val="00DE512D"/>
    <w:rsid w:val="00DE58B3"/>
    <w:rsid w:val="00DE59AC"/>
    <w:rsid w:val="00DE7422"/>
    <w:rsid w:val="00DF17EA"/>
    <w:rsid w:val="00DF2002"/>
    <w:rsid w:val="00DF30FA"/>
    <w:rsid w:val="00DF3EF4"/>
    <w:rsid w:val="00DF3FB5"/>
    <w:rsid w:val="00DF40CB"/>
    <w:rsid w:val="00DF4B83"/>
    <w:rsid w:val="00DF5B0D"/>
    <w:rsid w:val="00DF6791"/>
    <w:rsid w:val="00DF6A90"/>
    <w:rsid w:val="00DF6FFC"/>
    <w:rsid w:val="00E0145A"/>
    <w:rsid w:val="00E015B5"/>
    <w:rsid w:val="00E02492"/>
    <w:rsid w:val="00E0400D"/>
    <w:rsid w:val="00E04043"/>
    <w:rsid w:val="00E04697"/>
    <w:rsid w:val="00E048F1"/>
    <w:rsid w:val="00E0529B"/>
    <w:rsid w:val="00E074FC"/>
    <w:rsid w:val="00E075B1"/>
    <w:rsid w:val="00E07AE7"/>
    <w:rsid w:val="00E10071"/>
    <w:rsid w:val="00E1038D"/>
    <w:rsid w:val="00E11805"/>
    <w:rsid w:val="00E11CE0"/>
    <w:rsid w:val="00E11FA7"/>
    <w:rsid w:val="00E12D29"/>
    <w:rsid w:val="00E13A9C"/>
    <w:rsid w:val="00E1433E"/>
    <w:rsid w:val="00E14C16"/>
    <w:rsid w:val="00E152C5"/>
    <w:rsid w:val="00E15908"/>
    <w:rsid w:val="00E171DB"/>
    <w:rsid w:val="00E23EA4"/>
    <w:rsid w:val="00E24B16"/>
    <w:rsid w:val="00E24F82"/>
    <w:rsid w:val="00E25B04"/>
    <w:rsid w:val="00E26887"/>
    <w:rsid w:val="00E27478"/>
    <w:rsid w:val="00E2785E"/>
    <w:rsid w:val="00E30396"/>
    <w:rsid w:val="00E31E99"/>
    <w:rsid w:val="00E3230C"/>
    <w:rsid w:val="00E32EF0"/>
    <w:rsid w:val="00E33179"/>
    <w:rsid w:val="00E3454B"/>
    <w:rsid w:val="00E349EB"/>
    <w:rsid w:val="00E3652C"/>
    <w:rsid w:val="00E40969"/>
    <w:rsid w:val="00E421D9"/>
    <w:rsid w:val="00E42F57"/>
    <w:rsid w:val="00E4338B"/>
    <w:rsid w:val="00E447C6"/>
    <w:rsid w:val="00E45A28"/>
    <w:rsid w:val="00E46000"/>
    <w:rsid w:val="00E46259"/>
    <w:rsid w:val="00E46B08"/>
    <w:rsid w:val="00E47809"/>
    <w:rsid w:val="00E50CDF"/>
    <w:rsid w:val="00E51CC9"/>
    <w:rsid w:val="00E52A3E"/>
    <w:rsid w:val="00E52D39"/>
    <w:rsid w:val="00E5364C"/>
    <w:rsid w:val="00E541F1"/>
    <w:rsid w:val="00E54D0A"/>
    <w:rsid w:val="00E54FEE"/>
    <w:rsid w:val="00E55E97"/>
    <w:rsid w:val="00E563A0"/>
    <w:rsid w:val="00E57777"/>
    <w:rsid w:val="00E57C10"/>
    <w:rsid w:val="00E622DD"/>
    <w:rsid w:val="00E63388"/>
    <w:rsid w:val="00E63B95"/>
    <w:rsid w:val="00E64833"/>
    <w:rsid w:val="00E6496B"/>
    <w:rsid w:val="00E660A4"/>
    <w:rsid w:val="00E661F8"/>
    <w:rsid w:val="00E669D2"/>
    <w:rsid w:val="00E66CBE"/>
    <w:rsid w:val="00E6742D"/>
    <w:rsid w:val="00E67D0E"/>
    <w:rsid w:val="00E70DD8"/>
    <w:rsid w:val="00E71875"/>
    <w:rsid w:val="00E7279D"/>
    <w:rsid w:val="00E73096"/>
    <w:rsid w:val="00E730E3"/>
    <w:rsid w:val="00E73852"/>
    <w:rsid w:val="00E73981"/>
    <w:rsid w:val="00E745E7"/>
    <w:rsid w:val="00E754F8"/>
    <w:rsid w:val="00E760E5"/>
    <w:rsid w:val="00E76CF3"/>
    <w:rsid w:val="00E77435"/>
    <w:rsid w:val="00E80A87"/>
    <w:rsid w:val="00E818D8"/>
    <w:rsid w:val="00E82B6C"/>
    <w:rsid w:val="00E841C0"/>
    <w:rsid w:val="00E84AB3"/>
    <w:rsid w:val="00E84C2E"/>
    <w:rsid w:val="00E866C3"/>
    <w:rsid w:val="00E87074"/>
    <w:rsid w:val="00E90F26"/>
    <w:rsid w:val="00E9181D"/>
    <w:rsid w:val="00E92323"/>
    <w:rsid w:val="00E932F1"/>
    <w:rsid w:val="00E947AC"/>
    <w:rsid w:val="00E967AA"/>
    <w:rsid w:val="00E96D78"/>
    <w:rsid w:val="00E96DE0"/>
    <w:rsid w:val="00E97EE3"/>
    <w:rsid w:val="00EA125E"/>
    <w:rsid w:val="00EA1B6C"/>
    <w:rsid w:val="00EA35DA"/>
    <w:rsid w:val="00EA489B"/>
    <w:rsid w:val="00EA4AEF"/>
    <w:rsid w:val="00EA5499"/>
    <w:rsid w:val="00EA6048"/>
    <w:rsid w:val="00EA790B"/>
    <w:rsid w:val="00EA7F7D"/>
    <w:rsid w:val="00EB0163"/>
    <w:rsid w:val="00EB0740"/>
    <w:rsid w:val="00EB27C1"/>
    <w:rsid w:val="00EB349A"/>
    <w:rsid w:val="00EB4918"/>
    <w:rsid w:val="00EB4C44"/>
    <w:rsid w:val="00EB4EF6"/>
    <w:rsid w:val="00EB5229"/>
    <w:rsid w:val="00EB69E0"/>
    <w:rsid w:val="00EB6B9D"/>
    <w:rsid w:val="00EB71DC"/>
    <w:rsid w:val="00EB7D70"/>
    <w:rsid w:val="00EB7D74"/>
    <w:rsid w:val="00EC05E8"/>
    <w:rsid w:val="00EC0868"/>
    <w:rsid w:val="00EC0D1D"/>
    <w:rsid w:val="00EC1A63"/>
    <w:rsid w:val="00EC203A"/>
    <w:rsid w:val="00EC427D"/>
    <w:rsid w:val="00EC4487"/>
    <w:rsid w:val="00EC65BC"/>
    <w:rsid w:val="00EC6689"/>
    <w:rsid w:val="00EC6A80"/>
    <w:rsid w:val="00EC7CE6"/>
    <w:rsid w:val="00ED0C79"/>
    <w:rsid w:val="00ED1D9C"/>
    <w:rsid w:val="00ED23D5"/>
    <w:rsid w:val="00ED26F0"/>
    <w:rsid w:val="00ED27D8"/>
    <w:rsid w:val="00ED29AD"/>
    <w:rsid w:val="00ED327A"/>
    <w:rsid w:val="00ED4030"/>
    <w:rsid w:val="00ED5D6F"/>
    <w:rsid w:val="00ED700F"/>
    <w:rsid w:val="00EE1106"/>
    <w:rsid w:val="00EE285C"/>
    <w:rsid w:val="00EE3B16"/>
    <w:rsid w:val="00EE4D6F"/>
    <w:rsid w:val="00EE4EE4"/>
    <w:rsid w:val="00EE52A8"/>
    <w:rsid w:val="00EE559E"/>
    <w:rsid w:val="00EE7C6C"/>
    <w:rsid w:val="00EF1901"/>
    <w:rsid w:val="00EF33BC"/>
    <w:rsid w:val="00EF3D2D"/>
    <w:rsid w:val="00EF47F2"/>
    <w:rsid w:val="00EF715B"/>
    <w:rsid w:val="00F010CE"/>
    <w:rsid w:val="00F03227"/>
    <w:rsid w:val="00F03765"/>
    <w:rsid w:val="00F04195"/>
    <w:rsid w:val="00F0518F"/>
    <w:rsid w:val="00F06F49"/>
    <w:rsid w:val="00F077B4"/>
    <w:rsid w:val="00F078DF"/>
    <w:rsid w:val="00F07C5A"/>
    <w:rsid w:val="00F07F2F"/>
    <w:rsid w:val="00F1132D"/>
    <w:rsid w:val="00F11734"/>
    <w:rsid w:val="00F12237"/>
    <w:rsid w:val="00F124D5"/>
    <w:rsid w:val="00F136DA"/>
    <w:rsid w:val="00F140EA"/>
    <w:rsid w:val="00F1439D"/>
    <w:rsid w:val="00F14A19"/>
    <w:rsid w:val="00F14D74"/>
    <w:rsid w:val="00F15E1E"/>
    <w:rsid w:val="00F21607"/>
    <w:rsid w:val="00F219A2"/>
    <w:rsid w:val="00F22381"/>
    <w:rsid w:val="00F23E90"/>
    <w:rsid w:val="00F2470F"/>
    <w:rsid w:val="00F2474A"/>
    <w:rsid w:val="00F24B73"/>
    <w:rsid w:val="00F25BB7"/>
    <w:rsid w:val="00F26223"/>
    <w:rsid w:val="00F26FDB"/>
    <w:rsid w:val="00F30554"/>
    <w:rsid w:val="00F30748"/>
    <w:rsid w:val="00F311E5"/>
    <w:rsid w:val="00F337D5"/>
    <w:rsid w:val="00F33C96"/>
    <w:rsid w:val="00F33E5B"/>
    <w:rsid w:val="00F346A3"/>
    <w:rsid w:val="00F34C5A"/>
    <w:rsid w:val="00F35B2D"/>
    <w:rsid w:val="00F3771F"/>
    <w:rsid w:val="00F37A8B"/>
    <w:rsid w:val="00F37BE3"/>
    <w:rsid w:val="00F404F5"/>
    <w:rsid w:val="00F40AE7"/>
    <w:rsid w:val="00F41340"/>
    <w:rsid w:val="00F414AB"/>
    <w:rsid w:val="00F418AE"/>
    <w:rsid w:val="00F41E0E"/>
    <w:rsid w:val="00F428A5"/>
    <w:rsid w:val="00F42FE2"/>
    <w:rsid w:val="00F4380E"/>
    <w:rsid w:val="00F43B33"/>
    <w:rsid w:val="00F43E6E"/>
    <w:rsid w:val="00F449C2"/>
    <w:rsid w:val="00F449E5"/>
    <w:rsid w:val="00F45321"/>
    <w:rsid w:val="00F505D3"/>
    <w:rsid w:val="00F513E1"/>
    <w:rsid w:val="00F516E8"/>
    <w:rsid w:val="00F5206A"/>
    <w:rsid w:val="00F52835"/>
    <w:rsid w:val="00F528E9"/>
    <w:rsid w:val="00F529F6"/>
    <w:rsid w:val="00F54BB0"/>
    <w:rsid w:val="00F55EAD"/>
    <w:rsid w:val="00F56D13"/>
    <w:rsid w:val="00F5739D"/>
    <w:rsid w:val="00F57753"/>
    <w:rsid w:val="00F60415"/>
    <w:rsid w:val="00F61E30"/>
    <w:rsid w:val="00F61F18"/>
    <w:rsid w:val="00F61FF7"/>
    <w:rsid w:val="00F63063"/>
    <w:rsid w:val="00F635ED"/>
    <w:rsid w:val="00F6388F"/>
    <w:rsid w:val="00F648F0"/>
    <w:rsid w:val="00F64A87"/>
    <w:rsid w:val="00F65530"/>
    <w:rsid w:val="00F65564"/>
    <w:rsid w:val="00F663E6"/>
    <w:rsid w:val="00F665FB"/>
    <w:rsid w:val="00F668E9"/>
    <w:rsid w:val="00F669A9"/>
    <w:rsid w:val="00F671B6"/>
    <w:rsid w:val="00F70AEF"/>
    <w:rsid w:val="00F70B99"/>
    <w:rsid w:val="00F72199"/>
    <w:rsid w:val="00F72601"/>
    <w:rsid w:val="00F72E05"/>
    <w:rsid w:val="00F7341B"/>
    <w:rsid w:val="00F74D8D"/>
    <w:rsid w:val="00F75458"/>
    <w:rsid w:val="00F766FF"/>
    <w:rsid w:val="00F80CEA"/>
    <w:rsid w:val="00F81DBF"/>
    <w:rsid w:val="00F8275B"/>
    <w:rsid w:val="00F83399"/>
    <w:rsid w:val="00F837CA"/>
    <w:rsid w:val="00F839EA"/>
    <w:rsid w:val="00F83F28"/>
    <w:rsid w:val="00F8460F"/>
    <w:rsid w:val="00F8469B"/>
    <w:rsid w:val="00F85293"/>
    <w:rsid w:val="00F85C31"/>
    <w:rsid w:val="00F86343"/>
    <w:rsid w:val="00F87355"/>
    <w:rsid w:val="00F9112C"/>
    <w:rsid w:val="00F9126F"/>
    <w:rsid w:val="00F9390F"/>
    <w:rsid w:val="00F94C92"/>
    <w:rsid w:val="00F95CA2"/>
    <w:rsid w:val="00F96A1B"/>
    <w:rsid w:val="00F96C0B"/>
    <w:rsid w:val="00F97CB2"/>
    <w:rsid w:val="00FA09A1"/>
    <w:rsid w:val="00FA13DD"/>
    <w:rsid w:val="00FA313A"/>
    <w:rsid w:val="00FA3242"/>
    <w:rsid w:val="00FA4EBC"/>
    <w:rsid w:val="00FA5267"/>
    <w:rsid w:val="00FA5473"/>
    <w:rsid w:val="00FA6D6B"/>
    <w:rsid w:val="00FA726C"/>
    <w:rsid w:val="00FA7E9F"/>
    <w:rsid w:val="00FB0385"/>
    <w:rsid w:val="00FB04E0"/>
    <w:rsid w:val="00FB0E3D"/>
    <w:rsid w:val="00FB165C"/>
    <w:rsid w:val="00FB1A1A"/>
    <w:rsid w:val="00FB2CA0"/>
    <w:rsid w:val="00FB4AA6"/>
    <w:rsid w:val="00FB530A"/>
    <w:rsid w:val="00FB5C8D"/>
    <w:rsid w:val="00FB6AE8"/>
    <w:rsid w:val="00FB6B60"/>
    <w:rsid w:val="00FB6C13"/>
    <w:rsid w:val="00FB6D3E"/>
    <w:rsid w:val="00FC05F1"/>
    <w:rsid w:val="00FC144D"/>
    <w:rsid w:val="00FC1981"/>
    <w:rsid w:val="00FC1F26"/>
    <w:rsid w:val="00FC1F8A"/>
    <w:rsid w:val="00FC259B"/>
    <w:rsid w:val="00FC3D23"/>
    <w:rsid w:val="00FC40BC"/>
    <w:rsid w:val="00FC4804"/>
    <w:rsid w:val="00FC510B"/>
    <w:rsid w:val="00FC6ADE"/>
    <w:rsid w:val="00FC73E4"/>
    <w:rsid w:val="00FC7731"/>
    <w:rsid w:val="00FC7957"/>
    <w:rsid w:val="00FD036F"/>
    <w:rsid w:val="00FD0593"/>
    <w:rsid w:val="00FD2B59"/>
    <w:rsid w:val="00FD3952"/>
    <w:rsid w:val="00FD3D9D"/>
    <w:rsid w:val="00FD6D94"/>
    <w:rsid w:val="00FD721C"/>
    <w:rsid w:val="00FD7FBA"/>
    <w:rsid w:val="00FE0DBC"/>
    <w:rsid w:val="00FE1A29"/>
    <w:rsid w:val="00FE2FEF"/>
    <w:rsid w:val="00FE378E"/>
    <w:rsid w:val="00FE560B"/>
    <w:rsid w:val="00FE5828"/>
    <w:rsid w:val="00FE6A44"/>
    <w:rsid w:val="00FF0B18"/>
    <w:rsid w:val="00FF1F5A"/>
    <w:rsid w:val="00FF2A58"/>
    <w:rsid w:val="00FF446D"/>
    <w:rsid w:val="00FF500C"/>
    <w:rsid w:val="00FF51DA"/>
    <w:rsid w:val="00FF5B52"/>
    <w:rsid w:val="00FF73AB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0F5018"/>
  <w15:docId w15:val="{CB893AE4-627E-4F89-AFCB-6C20AEE1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F5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1172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8C2ACF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874A19"/>
    <w:pPr>
      <w:keepNext/>
      <w:widowControl w:val="0"/>
      <w:tabs>
        <w:tab w:val="num" w:pos="0"/>
      </w:tabs>
      <w:suppressAutoHyphens/>
      <w:spacing w:before="240" w:after="240" w:line="360" w:lineRule="auto"/>
      <w:ind w:right="3770"/>
      <w:jc w:val="both"/>
      <w:outlineLvl w:val="2"/>
    </w:pPr>
    <w:rPr>
      <w:rFonts w:ascii="Times New Roman" w:eastAsia="SimSun" w:hAnsi="Times New Roman" w:cs="Mangal"/>
      <w:b/>
      <w:kern w:val="1"/>
      <w:sz w:val="24"/>
      <w:szCs w:val="24"/>
      <w:lang w:val="en-GB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rsid w:val="005729F7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customStyle="1" w:styleId="western1">
    <w:name w:val="western1"/>
    <w:basedOn w:val="Normal"/>
    <w:rsid w:val="005729F7"/>
    <w:pPr>
      <w:spacing w:before="100" w:beforeAutospacing="1" w:after="0" w:line="102" w:lineRule="atLeast"/>
    </w:pPr>
    <w:rPr>
      <w:rFonts w:ascii="Times New Roman" w:eastAsia="Calibri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57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729F7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locked/>
    <w:rsid w:val="00874A19"/>
    <w:rPr>
      <w:rFonts w:ascii="Times New Roman" w:eastAsia="SimSun" w:hAnsi="Times New Roman" w:cs="Mangal"/>
      <w:b/>
      <w:kern w:val="1"/>
      <w:sz w:val="24"/>
      <w:szCs w:val="24"/>
      <w:lang w:val="en-GB" w:eastAsia="hi-IN" w:bidi="hi-IN"/>
    </w:rPr>
  </w:style>
  <w:style w:type="character" w:customStyle="1" w:styleId="WW-Zadanifontodlomka">
    <w:name w:val="WW-Zadani font odlomka"/>
    <w:rsid w:val="00874A19"/>
  </w:style>
  <w:style w:type="paragraph" w:styleId="Odlomakpopisa">
    <w:name w:val="List Paragraph"/>
    <w:basedOn w:val="Normal"/>
    <w:qFormat/>
    <w:rsid w:val="009F7C99"/>
    <w:pPr>
      <w:ind w:left="720"/>
    </w:pPr>
  </w:style>
  <w:style w:type="paragraph" w:styleId="Zaglavlje">
    <w:name w:val="header"/>
    <w:basedOn w:val="Normal"/>
    <w:link w:val="ZaglavljeChar"/>
    <w:uiPriority w:val="99"/>
    <w:rsid w:val="0047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76B18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47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76B18"/>
    <w:rPr>
      <w:rFonts w:cs="Times New Roman"/>
    </w:rPr>
  </w:style>
  <w:style w:type="paragraph" w:customStyle="1" w:styleId="Sadrajitablice">
    <w:name w:val="Sadržaji tablice"/>
    <w:basedOn w:val="Normal"/>
    <w:rsid w:val="00A82D7F"/>
    <w:pPr>
      <w:suppressLineNumbers/>
      <w:suppressAutoHyphens/>
      <w:spacing w:after="0"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2C0A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rsid w:val="009E6C23"/>
    <w:pPr>
      <w:ind w:left="720"/>
    </w:pPr>
    <w:rPr>
      <w:rFonts w:eastAsia="Calibri" w:cs="Calibri"/>
    </w:rPr>
  </w:style>
  <w:style w:type="paragraph" w:styleId="Tekstfusnote">
    <w:name w:val="footnote text"/>
    <w:basedOn w:val="Normal"/>
    <w:link w:val="TekstfusnoteChar"/>
    <w:semiHidden/>
    <w:rsid w:val="00415563"/>
    <w:pPr>
      <w:spacing w:after="0" w:line="240" w:lineRule="auto"/>
    </w:pPr>
    <w:rPr>
      <w:rFonts w:ascii="Times New Roman" w:eastAsia="Calibri" w:hAnsi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locked/>
    <w:rsid w:val="00415563"/>
    <w:rPr>
      <w:rFonts w:ascii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semiHidden/>
    <w:rsid w:val="00415563"/>
    <w:rPr>
      <w:rFonts w:cs="Times New Roman"/>
      <w:vertAlign w:val="superscript"/>
    </w:rPr>
  </w:style>
  <w:style w:type="paragraph" w:customStyle="1" w:styleId="P1">
    <w:name w:val="P 1"/>
    <w:basedOn w:val="Normal"/>
    <w:rsid w:val="00A914BB"/>
    <w:pPr>
      <w:spacing w:before="120" w:after="120" w:line="240" w:lineRule="auto"/>
      <w:ind w:left="567"/>
      <w:jc w:val="both"/>
    </w:pPr>
    <w:rPr>
      <w:rFonts w:ascii="Arial" w:eastAsia="Calibri" w:hAnsi="Arial"/>
      <w:color w:val="000000"/>
      <w:sz w:val="20"/>
      <w:szCs w:val="24"/>
    </w:rPr>
  </w:style>
  <w:style w:type="paragraph" w:styleId="Tijeloteksta">
    <w:name w:val="Body Text"/>
    <w:basedOn w:val="Normal"/>
    <w:link w:val="TijelotekstaChar"/>
    <w:uiPriority w:val="99"/>
    <w:rsid w:val="00A914BB"/>
    <w:pPr>
      <w:spacing w:after="12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A914BB"/>
    <w:rPr>
      <w:rFonts w:ascii="Times New Roman" w:hAnsi="Times New Roman" w:cs="Times New Roman"/>
      <w:sz w:val="24"/>
      <w:szCs w:val="24"/>
      <w:lang w:eastAsia="hr-HR"/>
    </w:rPr>
  </w:style>
  <w:style w:type="paragraph" w:customStyle="1" w:styleId="T-98-2">
    <w:name w:val="T-9/8-2"/>
    <w:basedOn w:val="Normal"/>
    <w:rsid w:val="00A914BB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Calibri" w:hAnsi="Times-NewRoman"/>
      <w:sz w:val="19"/>
      <w:szCs w:val="19"/>
      <w:lang w:eastAsia="hr-HR"/>
    </w:rPr>
  </w:style>
  <w:style w:type="character" w:customStyle="1" w:styleId="Naslov2Char">
    <w:name w:val="Naslov 2 Char"/>
    <w:basedOn w:val="Zadanifontodlomka"/>
    <w:link w:val="Naslov2"/>
    <w:locked/>
    <w:rsid w:val="008C2ACF"/>
    <w:rPr>
      <w:rFonts w:ascii="Arial" w:hAnsi="Arial" w:cs="Arial"/>
      <w:b/>
      <w:bCs/>
      <w:i/>
      <w:iCs/>
      <w:sz w:val="28"/>
      <w:szCs w:val="28"/>
      <w:lang w:eastAsia="hr-HR"/>
    </w:rPr>
  </w:style>
  <w:style w:type="character" w:styleId="Hiperveza">
    <w:name w:val="Hyperlink"/>
    <w:basedOn w:val="Zadanifontodlomka"/>
    <w:uiPriority w:val="99"/>
    <w:rsid w:val="003D3931"/>
    <w:rPr>
      <w:rFonts w:cs="Times New Roman"/>
      <w:color w:val="0000FF"/>
      <w:u w:val="single"/>
    </w:rPr>
  </w:style>
  <w:style w:type="table" w:styleId="Reetkatablice">
    <w:name w:val="Table Grid"/>
    <w:basedOn w:val="Obinatablica"/>
    <w:rsid w:val="000A041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cimalAligned">
    <w:name w:val="Decimal Aligned"/>
    <w:basedOn w:val="Normal"/>
    <w:rsid w:val="000A0417"/>
    <w:pPr>
      <w:tabs>
        <w:tab w:val="decimal" w:pos="360"/>
      </w:tabs>
    </w:pPr>
    <w:rPr>
      <w:rFonts w:eastAsia="Calibri"/>
      <w:lang w:val="en-US"/>
    </w:rPr>
  </w:style>
  <w:style w:type="character" w:styleId="Neupadljivoisticanje">
    <w:name w:val="Subtle Emphasis"/>
    <w:basedOn w:val="Zadanifontodlomka"/>
    <w:qFormat/>
    <w:rsid w:val="000A0417"/>
    <w:rPr>
      <w:rFonts w:eastAsia="Times New Roman" w:cs="Times New Roman"/>
      <w:i/>
      <w:iCs/>
      <w:color w:val="808080"/>
      <w:sz w:val="22"/>
      <w:szCs w:val="22"/>
      <w:lang w:val="en-US"/>
    </w:rPr>
  </w:style>
  <w:style w:type="table" w:customStyle="1" w:styleId="LightShading-Accent11">
    <w:name w:val="Light Shading - Accent 11"/>
    <w:rsid w:val="000A0417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Naglaeno">
    <w:name w:val="Strong"/>
    <w:basedOn w:val="Zadanifontodlomka"/>
    <w:uiPriority w:val="22"/>
    <w:qFormat/>
    <w:locked/>
    <w:rsid w:val="00F63063"/>
    <w:rPr>
      <w:b/>
      <w:bCs/>
    </w:rPr>
  </w:style>
  <w:style w:type="character" w:customStyle="1" w:styleId="apple-converted-space">
    <w:name w:val="apple-converted-space"/>
    <w:basedOn w:val="Zadanifontodlomka"/>
    <w:rsid w:val="00F63063"/>
  </w:style>
  <w:style w:type="character" w:styleId="SlijeenaHiperveza">
    <w:name w:val="FollowedHyperlink"/>
    <w:basedOn w:val="Zadanifontodlomka"/>
    <w:uiPriority w:val="99"/>
    <w:semiHidden/>
    <w:unhideWhenUsed/>
    <w:rsid w:val="00BE3302"/>
    <w:rPr>
      <w:color w:val="954F72"/>
      <w:u w:val="single"/>
    </w:rPr>
  </w:style>
  <w:style w:type="paragraph" w:customStyle="1" w:styleId="msonormal0">
    <w:name w:val="msonormal"/>
    <w:basedOn w:val="Normal"/>
    <w:rsid w:val="00BE33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BE3302"/>
    <w:pPr>
      <w:spacing w:before="100" w:beforeAutospacing="1" w:after="100" w:afterAutospacing="1" w:line="240" w:lineRule="auto"/>
    </w:pPr>
    <w:rPr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BE3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BE3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BE3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BE3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24"/>
      <w:szCs w:val="24"/>
      <w:lang w:eastAsia="hr-HR"/>
    </w:rPr>
  </w:style>
  <w:style w:type="paragraph" w:customStyle="1" w:styleId="xl71">
    <w:name w:val="xl71"/>
    <w:basedOn w:val="Normal"/>
    <w:rsid w:val="00BE3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BE3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11728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7527AC"/>
    <w:pPr>
      <w:spacing w:line="259" w:lineRule="auto"/>
      <w:outlineLvl w:val="9"/>
    </w:pPr>
    <w:rPr>
      <w:lang w:val="en-US"/>
    </w:rPr>
  </w:style>
  <w:style w:type="paragraph" w:styleId="Sadraj3">
    <w:name w:val="toc 3"/>
    <w:basedOn w:val="Normal"/>
    <w:next w:val="Normal"/>
    <w:autoRedefine/>
    <w:uiPriority w:val="39"/>
    <w:unhideWhenUsed/>
    <w:locked/>
    <w:rsid w:val="007527AC"/>
    <w:pPr>
      <w:spacing w:after="100"/>
      <w:ind w:left="440"/>
    </w:pPr>
  </w:style>
  <w:style w:type="paragraph" w:styleId="Sadraj1">
    <w:name w:val="toc 1"/>
    <w:basedOn w:val="Normal"/>
    <w:next w:val="Normal"/>
    <w:autoRedefine/>
    <w:uiPriority w:val="39"/>
    <w:unhideWhenUsed/>
    <w:locked/>
    <w:rsid w:val="007527AC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locked/>
    <w:rsid w:val="00537423"/>
    <w:pPr>
      <w:spacing w:after="100"/>
      <w:ind w:left="220"/>
    </w:pPr>
  </w:style>
  <w:style w:type="numbering" w:customStyle="1" w:styleId="NoList1">
    <w:name w:val="No List1"/>
    <w:next w:val="Bezpopisa"/>
    <w:uiPriority w:val="99"/>
    <w:semiHidden/>
    <w:unhideWhenUsed/>
    <w:rsid w:val="005563FB"/>
  </w:style>
  <w:style w:type="character" w:customStyle="1" w:styleId="UnresolvedMention1">
    <w:name w:val="Unresolved Mention1"/>
    <w:basedOn w:val="Zadanifontodlomka"/>
    <w:uiPriority w:val="99"/>
    <w:semiHidden/>
    <w:unhideWhenUsed/>
    <w:rsid w:val="005563FB"/>
    <w:rPr>
      <w:color w:val="605E5C"/>
      <w:shd w:val="clear" w:color="auto" w:fill="E1DFDD"/>
    </w:rPr>
  </w:style>
  <w:style w:type="paragraph" w:customStyle="1" w:styleId="xl73">
    <w:name w:val="xl73"/>
    <w:basedOn w:val="Normal"/>
    <w:rsid w:val="00097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097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097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097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</w:pPr>
    <w:rPr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097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right"/>
    </w:pPr>
    <w:rPr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097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right"/>
    </w:pPr>
    <w:rPr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0614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9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List1!$B$6</c:f>
              <c:strCache>
                <c:ptCount val="1"/>
                <c:pt idx="0">
                  <c:v>OSTVARENJE 2016.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List1!$A$7:$A$12</c:f>
              <c:strCache>
                <c:ptCount val="6"/>
                <c:pt idx="0">
                  <c:v>6. PRIHODI POSLOVANJA</c:v>
                </c:pt>
                <c:pt idx="1">
                  <c:v>7. PRIHODI OD PRODAJE NEFINANCIJSKE IMOVINE</c:v>
                </c:pt>
                <c:pt idx="2">
                  <c:v>3. RASHODI POSLOVANJA</c:v>
                </c:pt>
                <c:pt idx="3">
                  <c:v>4. RASHODI ZA NABAVU NEFINANCIJSKE IMOVINE</c:v>
                </c:pt>
                <c:pt idx="4">
                  <c:v>8.Primici od financijske imovine i zaduživanja</c:v>
                </c:pt>
                <c:pt idx="5">
                  <c:v>5. IZDACI ZA FINANCIJSKU IMOVINU I OTPLATE ZAJMOVA</c:v>
                </c:pt>
              </c:strCache>
            </c:strRef>
          </c:cat>
          <c:val>
            <c:numRef>
              <c:f>List1!$B$7:$B$12</c:f>
              <c:numCache>
                <c:formatCode>#,##0</c:formatCode>
                <c:ptCount val="6"/>
                <c:pt idx="0">
                  <c:v>126075240</c:v>
                </c:pt>
                <c:pt idx="1">
                  <c:v>149509</c:v>
                </c:pt>
                <c:pt idx="2">
                  <c:v>91698113</c:v>
                </c:pt>
                <c:pt idx="3">
                  <c:v>14956853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62-44FB-A128-B96664AEAE71}"/>
            </c:ext>
          </c:extLst>
        </c:ser>
        <c:ser>
          <c:idx val="1"/>
          <c:order val="1"/>
          <c:tx>
            <c:strRef>
              <c:f>List1!$C$6</c:f>
              <c:strCache>
                <c:ptCount val="1"/>
                <c:pt idx="0">
                  <c:v>OSTVARENJE 2017.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List1!$A$7:$A$12</c:f>
              <c:strCache>
                <c:ptCount val="6"/>
                <c:pt idx="0">
                  <c:v>6. PRIHODI POSLOVANJA</c:v>
                </c:pt>
                <c:pt idx="1">
                  <c:v>7. PRIHODI OD PRODAJE NEFINANCIJSKE IMOVINE</c:v>
                </c:pt>
                <c:pt idx="2">
                  <c:v>3. RASHODI POSLOVANJA</c:v>
                </c:pt>
                <c:pt idx="3">
                  <c:v>4. RASHODI ZA NABAVU NEFINANCIJSKE IMOVINE</c:v>
                </c:pt>
                <c:pt idx="4">
                  <c:v>8.Primici od financijske imovine i zaduživanja</c:v>
                </c:pt>
                <c:pt idx="5">
                  <c:v>5. IZDACI ZA FINANCIJSKU IMOVINU I OTPLATE ZAJMOVA</c:v>
                </c:pt>
              </c:strCache>
            </c:strRef>
          </c:cat>
          <c:val>
            <c:numRef>
              <c:f>List1!$C$7:$C$12</c:f>
              <c:numCache>
                <c:formatCode>#,##0</c:formatCode>
                <c:ptCount val="6"/>
                <c:pt idx="0">
                  <c:v>110125577</c:v>
                </c:pt>
                <c:pt idx="1">
                  <c:v>307937</c:v>
                </c:pt>
                <c:pt idx="2">
                  <c:v>99989356</c:v>
                </c:pt>
                <c:pt idx="3">
                  <c:v>19346137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62-44FB-A128-B96664AEAE71}"/>
            </c:ext>
          </c:extLst>
        </c:ser>
        <c:ser>
          <c:idx val="2"/>
          <c:order val="2"/>
          <c:tx>
            <c:strRef>
              <c:f>List1!$D$6</c:f>
              <c:strCache>
                <c:ptCount val="1"/>
                <c:pt idx="0">
                  <c:v>OSTVARENJE 2018.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List1!$A$7:$A$12</c:f>
              <c:strCache>
                <c:ptCount val="6"/>
                <c:pt idx="0">
                  <c:v>6. PRIHODI POSLOVANJA</c:v>
                </c:pt>
                <c:pt idx="1">
                  <c:v>7. PRIHODI OD PRODAJE NEFINANCIJSKE IMOVINE</c:v>
                </c:pt>
                <c:pt idx="2">
                  <c:v>3. RASHODI POSLOVANJA</c:v>
                </c:pt>
                <c:pt idx="3">
                  <c:v>4. RASHODI ZA NABAVU NEFINANCIJSKE IMOVINE</c:v>
                </c:pt>
                <c:pt idx="4">
                  <c:v>8.Primici od financijske imovine i zaduživanja</c:v>
                </c:pt>
                <c:pt idx="5">
                  <c:v>5. IZDACI ZA FINANCIJSKU IMOVINU I OTPLATE ZAJMOVA</c:v>
                </c:pt>
              </c:strCache>
            </c:strRef>
          </c:cat>
          <c:val>
            <c:numRef>
              <c:f>List1!$D$7:$D$12</c:f>
              <c:numCache>
                <c:formatCode>#,##0</c:formatCode>
                <c:ptCount val="6"/>
                <c:pt idx="0">
                  <c:v>115767945</c:v>
                </c:pt>
                <c:pt idx="1">
                  <c:v>1066357</c:v>
                </c:pt>
                <c:pt idx="2">
                  <c:v>89593192</c:v>
                </c:pt>
                <c:pt idx="3">
                  <c:v>11613140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62-44FB-A128-B96664AEAE71}"/>
            </c:ext>
          </c:extLst>
        </c:ser>
        <c:ser>
          <c:idx val="3"/>
          <c:order val="3"/>
          <c:tx>
            <c:strRef>
              <c:f>List1!$E$6</c:f>
              <c:strCache>
                <c:ptCount val="1"/>
                <c:pt idx="0">
                  <c:v>OSTVARENJE 2019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List1!$A$7:$A$12</c:f>
              <c:strCache>
                <c:ptCount val="6"/>
                <c:pt idx="0">
                  <c:v>6. PRIHODI POSLOVANJA</c:v>
                </c:pt>
                <c:pt idx="1">
                  <c:v>7. PRIHODI OD PRODAJE NEFINANCIJSKE IMOVINE</c:v>
                </c:pt>
                <c:pt idx="2">
                  <c:v>3. RASHODI POSLOVANJA</c:v>
                </c:pt>
                <c:pt idx="3">
                  <c:v>4. RASHODI ZA NABAVU NEFINANCIJSKE IMOVINE</c:v>
                </c:pt>
                <c:pt idx="4">
                  <c:v>8.Primici od financijske imovine i zaduživanja</c:v>
                </c:pt>
                <c:pt idx="5">
                  <c:v>5. IZDACI ZA FINANCIJSKU IMOVINU I OTPLATE ZAJMOVA</c:v>
                </c:pt>
              </c:strCache>
            </c:strRef>
          </c:cat>
          <c:val>
            <c:numRef>
              <c:f>List1!$E$7:$E$12</c:f>
              <c:numCache>
                <c:formatCode>#,##0</c:formatCode>
                <c:ptCount val="6"/>
                <c:pt idx="0">
                  <c:v>172495985</c:v>
                </c:pt>
                <c:pt idx="1">
                  <c:v>479517</c:v>
                </c:pt>
                <c:pt idx="2">
                  <c:v>128841007</c:v>
                </c:pt>
                <c:pt idx="3">
                  <c:v>26097999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62-44FB-A128-B96664AEAE71}"/>
            </c:ext>
          </c:extLst>
        </c:ser>
        <c:ser>
          <c:idx val="4"/>
          <c:order val="4"/>
          <c:tx>
            <c:strRef>
              <c:f>List1!$F$6</c:f>
              <c:strCache>
                <c:ptCount val="1"/>
                <c:pt idx="0">
                  <c:v>OSTVARENJE 2020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List1!$A$7:$A$12</c:f>
              <c:strCache>
                <c:ptCount val="6"/>
                <c:pt idx="0">
                  <c:v>6. PRIHODI POSLOVANJA</c:v>
                </c:pt>
                <c:pt idx="1">
                  <c:v>7. PRIHODI OD PRODAJE NEFINANCIJSKE IMOVINE</c:v>
                </c:pt>
                <c:pt idx="2">
                  <c:v>3. RASHODI POSLOVANJA</c:v>
                </c:pt>
                <c:pt idx="3">
                  <c:v>4. RASHODI ZA NABAVU NEFINANCIJSKE IMOVINE</c:v>
                </c:pt>
                <c:pt idx="4">
                  <c:v>8.Primici od financijske imovine i zaduživanja</c:v>
                </c:pt>
                <c:pt idx="5">
                  <c:v>5. IZDACI ZA FINANCIJSKU IMOVINU I OTPLATE ZAJMOVA</c:v>
                </c:pt>
              </c:strCache>
            </c:strRef>
          </c:cat>
          <c:val>
            <c:numRef>
              <c:f>List1!$F$7:$F$12</c:f>
              <c:numCache>
                <c:formatCode>#,##0</c:formatCode>
                <c:ptCount val="6"/>
                <c:pt idx="0">
                  <c:v>146310491.56</c:v>
                </c:pt>
                <c:pt idx="1">
                  <c:v>4297767.03</c:v>
                </c:pt>
                <c:pt idx="2">
                  <c:v>148109694</c:v>
                </c:pt>
                <c:pt idx="3">
                  <c:v>29138125.390000001</c:v>
                </c:pt>
                <c:pt idx="4">
                  <c:v>13865615.17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762-44FB-A128-B96664AEAE71}"/>
            </c:ext>
          </c:extLst>
        </c:ser>
        <c:ser>
          <c:idx val="5"/>
          <c:order val="5"/>
          <c:tx>
            <c:strRef>
              <c:f>List1!$G$6</c:f>
              <c:strCache>
                <c:ptCount val="1"/>
                <c:pt idx="0">
                  <c:v>PLAN 2021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List1!$A$7:$A$12</c:f>
              <c:strCache>
                <c:ptCount val="6"/>
                <c:pt idx="0">
                  <c:v>6. PRIHODI POSLOVANJA</c:v>
                </c:pt>
                <c:pt idx="1">
                  <c:v>7. PRIHODI OD PRODAJE NEFINANCIJSKE IMOVINE</c:v>
                </c:pt>
                <c:pt idx="2">
                  <c:v>3. RASHODI POSLOVANJA</c:v>
                </c:pt>
                <c:pt idx="3">
                  <c:v>4. RASHODI ZA NABAVU NEFINANCIJSKE IMOVINE</c:v>
                </c:pt>
                <c:pt idx="4">
                  <c:v>8.Primici od financijske imovine i zaduživanja</c:v>
                </c:pt>
                <c:pt idx="5">
                  <c:v>5. IZDACI ZA FINANCIJSKU IMOVINU I OTPLATE ZAJMOVA</c:v>
                </c:pt>
              </c:strCache>
            </c:strRef>
          </c:cat>
          <c:val>
            <c:numRef>
              <c:f>List1!$G$7:$G$12</c:f>
              <c:numCache>
                <c:formatCode>#,##0</c:formatCode>
                <c:ptCount val="6"/>
                <c:pt idx="0">
                  <c:v>203365210.16</c:v>
                </c:pt>
                <c:pt idx="1">
                  <c:v>1202100</c:v>
                </c:pt>
                <c:pt idx="2">
                  <c:v>160634105</c:v>
                </c:pt>
                <c:pt idx="3">
                  <c:v>60583910</c:v>
                </c:pt>
                <c:pt idx="5">
                  <c:v>10000000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762-44FB-A128-B96664AEAE71}"/>
            </c:ext>
          </c:extLst>
        </c:ser>
        <c:ser>
          <c:idx val="6"/>
          <c:order val="6"/>
          <c:tx>
            <c:strRef>
              <c:f>List1!$H$6</c:f>
              <c:strCache>
                <c:ptCount val="1"/>
                <c:pt idx="0">
                  <c:v>PLAN 2022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List1!$A$7:$A$12</c:f>
              <c:strCache>
                <c:ptCount val="6"/>
                <c:pt idx="0">
                  <c:v>6. PRIHODI POSLOVANJA</c:v>
                </c:pt>
                <c:pt idx="1">
                  <c:v>7. PRIHODI OD PRODAJE NEFINANCIJSKE IMOVINE</c:v>
                </c:pt>
                <c:pt idx="2">
                  <c:v>3. RASHODI POSLOVANJA</c:v>
                </c:pt>
                <c:pt idx="3">
                  <c:v>4. RASHODI ZA NABAVU NEFINANCIJSKE IMOVINE</c:v>
                </c:pt>
                <c:pt idx="4">
                  <c:v>8.Primici od financijske imovine i zaduživanja</c:v>
                </c:pt>
                <c:pt idx="5">
                  <c:v>5. IZDACI ZA FINANCIJSKU IMOVINU I OTPLATE ZAJMOVA</c:v>
                </c:pt>
              </c:strCache>
            </c:strRef>
          </c:cat>
          <c:val>
            <c:numRef>
              <c:f>List1!$H$7:$H$12</c:f>
              <c:numCache>
                <c:formatCode>#,##0</c:formatCode>
                <c:ptCount val="6"/>
                <c:pt idx="0">
                  <c:v>198027900</c:v>
                </c:pt>
                <c:pt idx="1">
                  <c:v>200000</c:v>
                </c:pt>
                <c:pt idx="2">
                  <c:v>147386100</c:v>
                </c:pt>
                <c:pt idx="3">
                  <c:v>35560550</c:v>
                </c:pt>
                <c:pt idx="4">
                  <c:v>1518750</c:v>
                </c:pt>
                <c:pt idx="5">
                  <c:v>7800000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762-44FB-A128-B96664AEAE71}"/>
            </c:ext>
          </c:extLst>
        </c:ser>
        <c:ser>
          <c:idx val="7"/>
          <c:order val="7"/>
          <c:tx>
            <c:strRef>
              <c:f>List1!$I$6</c:f>
              <c:strCache>
                <c:ptCount val="1"/>
                <c:pt idx="0">
                  <c:v>PLAN 2023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List1!$A$7:$A$12</c:f>
              <c:strCache>
                <c:ptCount val="6"/>
                <c:pt idx="0">
                  <c:v>6. PRIHODI POSLOVANJA</c:v>
                </c:pt>
                <c:pt idx="1">
                  <c:v>7. PRIHODI OD PRODAJE NEFINANCIJSKE IMOVINE</c:v>
                </c:pt>
                <c:pt idx="2">
                  <c:v>3. RASHODI POSLOVANJA</c:v>
                </c:pt>
                <c:pt idx="3">
                  <c:v>4. RASHODI ZA NABAVU NEFINANCIJSKE IMOVINE</c:v>
                </c:pt>
                <c:pt idx="4">
                  <c:v>8.Primici od financijske imovine i zaduživanja</c:v>
                </c:pt>
                <c:pt idx="5">
                  <c:v>5. IZDACI ZA FINANCIJSKU IMOVINU I OTPLATE ZAJMOVA</c:v>
                </c:pt>
              </c:strCache>
            </c:strRef>
          </c:cat>
          <c:val>
            <c:numRef>
              <c:f>List1!$I$7:$I$12</c:f>
              <c:numCache>
                <c:formatCode>#,##0</c:formatCode>
                <c:ptCount val="6"/>
                <c:pt idx="0">
                  <c:v>193202400</c:v>
                </c:pt>
                <c:pt idx="1">
                  <c:v>200000</c:v>
                </c:pt>
                <c:pt idx="2">
                  <c:v>150859400</c:v>
                </c:pt>
                <c:pt idx="3">
                  <c:v>51543000</c:v>
                </c:pt>
                <c:pt idx="4">
                  <c:v>10000000</c:v>
                </c:pt>
                <c:pt idx="5">
                  <c:v>1000000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762-44FB-A128-B96664AEAE71}"/>
            </c:ext>
          </c:extLst>
        </c:ser>
        <c:ser>
          <c:idx val="8"/>
          <c:order val="8"/>
          <c:tx>
            <c:strRef>
              <c:f>List1!$J$6</c:f>
              <c:strCache>
                <c:ptCount val="1"/>
                <c:pt idx="0">
                  <c:v>PLAN 2024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List1!$A$7:$A$12</c:f>
              <c:strCache>
                <c:ptCount val="6"/>
                <c:pt idx="0">
                  <c:v>6. PRIHODI POSLOVANJA</c:v>
                </c:pt>
                <c:pt idx="1">
                  <c:v>7. PRIHODI OD PRODAJE NEFINANCIJSKE IMOVINE</c:v>
                </c:pt>
                <c:pt idx="2">
                  <c:v>3. RASHODI POSLOVANJA</c:v>
                </c:pt>
                <c:pt idx="3">
                  <c:v>4. RASHODI ZA NABAVU NEFINANCIJSKE IMOVINE</c:v>
                </c:pt>
                <c:pt idx="4">
                  <c:v>8.Primici od financijske imovine i zaduživanja</c:v>
                </c:pt>
                <c:pt idx="5">
                  <c:v>5. IZDACI ZA FINANCIJSKU IMOVINU I OTPLATE ZAJMOVA</c:v>
                </c:pt>
              </c:strCache>
            </c:strRef>
          </c:cat>
          <c:val>
            <c:numRef>
              <c:f>List1!$J$7:$J$12</c:f>
              <c:numCache>
                <c:formatCode>#,##0</c:formatCode>
                <c:ptCount val="6"/>
                <c:pt idx="0">
                  <c:v>191728900</c:v>
                </c:pt>
                <c:pt idx="1">
                  <c:v>1300000</c:v>
                </c:pt>
                <c:pt idx="2">
                  <c:v>149202900</c:v>
                </c:pt>
                <c:pt idx="3">
                  <c:v>40826000</c:v>
                </c:pt>
                <c:pt idx="5">
                  <c:v>3000000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762-44FB-A128-B96664AEAE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4012480"/>
        <c:axId val="1134014976"/>
      </c:barChart>
      <c:catAx>
        <c:axId val="113401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34014976"/>
        <c:crosses val="autoZero"/>
        <c:auto val="1"/>
        <c:lblAlgn val="ctr"/>
        <c:lblOffset val="100"/>
        <c:noMultiLvlLbl val="0"/>
      </c:catAx>
      <c:valAx>
        <c:axId val="1134014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3401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t="100000" r="100000"/>
      </a:path>
      <a:tileRect l="-100000" b="-100000"/>
    </a:gradFill>
    <a:ln w="38100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P</a:t>
            </a:r>
            <a:r>
              <a:rPr lang="hr-HR" sz="1200"/>
              <a:t>L</a:t>
            </a:r>
            <a:r>
              <a:rPr lang="en-US" sz="1200"/>
              <a:t>an</a:t>
            </a:r>
            <a:r>
              <a:rPr lang="hr-HR" sz="1200"/>
              <a:t> 2022-prihodi i primici</a:t>
            </a:r>
            <a:endParaRPr lang="en-US" sz="1200"/>
          </a:p>
        </c:rich>
      </c:tx>
      <c:layout>
        <c:manualLayout>
          <c:xMode val="edge"/>
          <c:yMode val="edge"/>
          <c:x val="0.65137622710567211"/>
          <c:y val="1.12198351185214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112888484208857"/>
          <c:y val="0.20070593229761555"/>
          <c:w val="0.68927968103855608"/>
          <c:h val="0.6559779514081920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E9B-4085-92E4-9402ABD484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E9B-4085-92E4-9402ABD484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E9B-4085-92E4-9402ABD484B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E9B-4085-92E4-9402ABD484B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8E9B-4085-92E4-9402ABD484B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8E9B-4085-92E4-9402ABD484B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8E9B-4085-92E4-9402ABD484B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8E9B-4085-92E4-9402ABD484B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8E9B-4085-92E4-9402ABD484B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3-8E9B-4085-92E4-9402ABD484B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5-8E9B-4085-92E4-9402ABD484B5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7-8E9B-4085-92E4-9402ABD484B5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9-8E9B-4085-92E4-9402ABD484B5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B-8E9B-4085-92E4-9402ABD484B5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D-8E9B-4085-92E4-9402ABD484B5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F-8E9B-4085-92E4-9402ABD484B5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1-8E9B-4085-92E4-9402ABD484B5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3-8E9B-4085-92E4-9402ABD484B5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5-8E9B-4085-92E4-9402ABD484B5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7-8E9B-4085-92E4-9402ABD484B5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9-8E9B-4085-92E4-9402ABD484B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8E9B-4085-92E4-9402ABD484B5}"/>
                </c:ext>
              </c:extLst>
            </c:dLbl>
            <c:dLbl>
              <c:idx val="1"/>
              <c:layout>
                <c:manualLayout>
                  <c:x val="0.18922470433639949"/>
                  <c:y val="-0.126658108686350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9B-4085-92E4-9402ABD484B5}"/>
                </c:ext>
              </c:extLst>
            </c:dLbl>
            <c:dLbl>
              <c:idx val="2"/>
              <c:layout>
                <c:manualLayout>
                  <c:x val="-0.1086289969338589"/>
                  <c:y val="7.35986307231492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9B-4085-92E4-9402ABD484B5}"/>
                </c:ext>
              </c:extLst>
            </c:dLbl>
            <c:dLbl>
              <c:idx val="3"/>
              <c:layout>
                <c:manualLayout>
                  <c:x val="0.1962330267192291"/>
                  <c:y val="-3.7655113393239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E9B-4085-92E4-9402ABD484B5}"/>
                </c:ext>
              </c:extLst>
            </c:dLbl>
            <c:dLbl>
              <c:idx val="4"/>
              <c:layout>
                <c:manualLayout>
                  <c:x val="0.16995181778361804"/>
                  <c:y val="5.13478818998715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E9B-4085-92E4-9402ABD484B5}"/>
                </c:ext>
              </c:extLst>
            </c:dLbl>
            <c:dLbl>
              <c:idx val="5"/>
              <c:layout>
                <c:manualLayout>
                  <c:x val="6.3074901445466486E-2"/>
                  <c:y val="0.1300813008130080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E9B-4085-92E4-9402ABD484B5}"/>
                </c:ext>
              </c:extLst>
            </c:dLbl>
            <c:dLbl>
              <c:idx val="6"/>
              <c:layout>
                <c:manualLayout>
                  <c:x val="3.3289531318440646E-2"/>
                  <c:y val="0.2019683354728284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E9B-4085-92E4-9402ABD484B5}"/>
                </c:ext>
              </c:extLst>
            </c:dLbl>
            <c:dLbl>
              <c:idx val="7"/>
              <c:layout>
                <c:manualLayout>
                  <c:x val="-4.3802014892685065E-2"/>
                  <c:y val="0.195121951219512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E9B-4085-92E4-9402ABD484B5}"/>
                </c:ext>
              </c:extLst>
            </c:dLbl>
            <c:dLbl>
              <c:idx val="8"/>
              <c:layout>
                <c:manualLayout>
                  <c:x val="-3.8545773105562856E-2"/>
                  <c:y val="0.1283697047496790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E9B-4085-92E4-9402ABD484B5}"/>
                </c:ext>
              </c:extLst>
            </c:dLbl>
            <c:dLbl>
              <c:idx val="9"/>
              <c:layout>
                <c:manualLayout>
                  <c:x val="-2.6281208935611037E-2"/>
                  <c:y val="6.67522464698329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E9B-4085-92E4-9402ABD484B5}"/>
                </c:ext>
              </c:extLst>
            </c:dLbl>
            <c:dLbl>
              <c:idx val="10"/>
              <c:layout>
                <c:manualLayout>
                  <c:x val="-7.00832238282961E-3"/>
                  <c:y val="-7.359863072314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E9B-4085-92E4-9402ABD484B5}"/>
                </c:ext>
              </c:extLst>
            </c:dLbl>
            <c:dLbl>
              <c:idx val="11"/>
              <c:layout>
                <c:manualLayout>
                  <c:x val="0"/>
                  <c:y val="2.56739409499358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E9B-4085-92E4-9402ABD484B5}"/>
                </c:ext>
              </c:extLst>
            </c:dLbl>
            <c:dLbl>
              <c:idx val="12"/>
              <c:layout>
                <c:manualLayout>
                  <c:x val="8.7604029785370123E-3"/>
                  <c:y val="-0.1181001283697047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E9B-4085-92E4-9402ABD484B5}"/>
                </c:ext>
              </c:extLst>
            </c:dLbl>
            <c:dLbl>
              <c:idx val="1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B-8E9B-4085-92E4-9402ABD484B5}"/>
                </c:ext>
              </c:extLst>
            </c:dLbl>
            <c:dLbl>
              <c:idx val="14"/>
              <c:layout>
                <c:manualLayout>
                  <c:x val="-0.22777047744196233"/>
                  <c:y val="-5.13478818998716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8E9B-4085-92E4-9402ABD484B5}"/>
                </c:ext>
              </c:extLst>
            </c:dLbl>
            <c:dLbl>
              <c:idx val="15"/>
              <c:layout>
                <c:manualLayout>
                  <c:x val="-0.25229960578186594"/>
                  <c:y val="-0.1728712023962344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8E9B-4085-92E4-9402ABD484B5}"/>
                </c:ext>
              </c:extLst>
            </c:dLbl>
            <c:dLbl>
              <c:idx val="16"/>
              <c:layout>
                <c:manualLayout>
                  <c:x val="0.38195356986421364"/>
                  <c:y val="-6.16174582798459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8E9B-4085-92E4-9402ABD484B5}"/>
                </c:ext>
              </c:extLst>
            </c:dLbl>
            <c:dLbl>
              <c:idx val="17"/>
              <c:layout>
                <c:manualLayout>
                  <c:x val="0.32238282961016207"/>
                  <c:y val="-3.1378898669317567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8E9B-4085-92E4-9402ABD484B5}"/>
                </c:ext>
              </c:extLst>
            </c:dLbl>
            <c:dLbl>
              <c:idx val="18"/>
              <c:layout>
                <c:manualLayout>
                  <c:x val="0.17345597897503279"/>
                  <c:y val="-0.1489088575096277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8E9B-4085-92E4-9402ABD484B5}"/>
                </c:ext>
              </c:extLst>
            </c:dLbl>
            <c:dLbl>
              <c:idx val="19"/>
              <c:layout>
                <c:manualLayout>
                  <c:x val="0.37144108628996936"/>
                  <c:y val="-0.1386392811296534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8E9B-4085-92E4-9402ABD484B5}"/>
                </c:ext>
              </c:extLst>
            </c:dLbl>
            <c:dLbl>
              <c:idx val="20"/>
              <c:layout>
                <c:manualLayout>
                  <c:x val="-2.6281208935611037E-2"/>
                  <c:y val="-0.154043645699614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8E9B-4085-92E4-9402ABD484B5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'PRIHODI NA 3'!$B$30:$B$50</c:f>
              <c:strCache>
                <c:ptCount val="21"/>
                <c:pt idx="0">
                  <c:v>Porez i prirez na dohodak</c:v>
                </c:pt>
                <c:pt idx="1">
                  <c:v>Porezi na imovinu</c:v>
                </c:pt>
                <c:pt idx="2">
                  <c:v>Porezi na robu i usluge</c:v>
                </c:pt>
                <c:pt idx="3">
                  <c:v>Ostali prihodi od poreza</c:v>
                </c:pt>
                <c:pt idx="4">
                  <c:v>Pomoći od međunarodnih organizacija te institucija i tijela EU</c:v>
                </c:pt>
                <c:pt idx="5">
                  <c:v>Pomoći proračunu iz drugih proračuna i izvanproračunskim korisnicima</c:v>
                </c:pt>
                <c:pt idx="6">
                  <c:v>Pomoći od izvanproračunskih korisnika</c:v>
                </c:pt>
                <c:pt idx="7">
                  <c:v>Pomoći proračunskim korisnicima iz proračuna koji im nije nadležan</c:v>
                </c:pt>
                <c:pt idx="8">
                  <c:v>Pomoći  temeljem prijenosa EU sredstava</c:v>
                </c:pt>
                <c:pt idx="9">
                  <c:v>Prihodi od financijske imovine</c:v>
                </c:pt>
                <c:pt idx="10">
                  <c:v>Prihodi od nefinancijske imovine</c:v>
                </c:pt>
                <c:pt idx="11">
                  <c:v>Administrativne (upravne) pristojbe</c:v>
                </c:pt>
                <c:pt idx="12">
                  <c:v>Prihodi po posebnim propisima</c:v>
                </c:pt>
                <c:pt idx="13">
                  <c:v>Komunalni doprinosi i naknade</c:v>
                </c:pt>
                <c:pt idx="14">
                  <c:v>Prihodi od prodaje proizvoda i robe te pruženih usluga</c:v>
                </c:pt>
                <c:pt idx="15">
                  <c:v>Donacije od pravnih i fizičkih osoba izvan općeg proračuna i povrat donacija po protestiranim jamstvima</c:v>
                </c:pt>
                <c:pt idx="16">
                  <c:v>Kazne i upravne pristojbe</c:v>
                </c:pt>
                <c:pt idx="17">
                  <c:v>Ostali prihodi</c:v>
                </c:pt>
                <c:pt idx="18">
                  <c:v>Prihodi od prodaje materijalne imovine - prirodnih bogatstava</c:v>
                </c:pt>
                <c:pt idx="19">
                  <c:v>Prihodi od prodaje građevinskih objekata</c:v>
                </c:pt>
                <c:pt idx="20">
                  <c:v>Primljeni zajmovi od kreditnih i ostalih financijskih institucija izvan javnog sektora</c:v>
                </c:pt>
              </c:strCache>
            </c:strRef>
          </c:cat>
          <c:val>
            <c:numRef>
              <c:f>'PRIHODI NA 3'!$C$30:$C$50</c:f>
              <c:numCache>
                <c:formatCode>#,##0</c:formatCode>
                <c:ptCount val="21"/>
                <c:pt idx="0">
                  <c:v>80000000</c:v>
                </c:pt>
                <c:pt idx="1">
                  <c:v>13500000</c:v>
                </c:pt>
                <c:pt idx="2">
                  <c:v>1305000</c:v>
                </c:pt>
                <c:pt idx="3">
                  <c:v>10000</c:v>
                </c:pt>
                <c:pt idx="4">
                  <c:v>1825000</c:v>
                </c:pt>
                <c:pt idx="5">
                  <c:v>21690000</c:v>
                </c:pt>
                <c:pt idx="6">
                  <c:v>6500000</c:v>
                </c:pt>
                <c:pt idx="7">
                  <c:v>514300</c:v>
                </c:pt>
                <c:pt idx="8">
                  <c:v>6852500</c:v>
                </c:pt>
                <c:pt idx="9">
                  <c:v>211100</c:v>
                </c:pt>
                <c:pt idx="10">
                  <c:v>6700000</c:v>
                </c:pt>
                <c:pt idx="11">
                  <c:v>1950000</c:v>
                </c:pt>
                <c:pt idx="12">
                  <c:v>10681400</c:v>
                </c:pt>
                <c:pt idx="13">
                  <c:v>43010000</c:v>
                </c:pt>
                <c:pt idx="14">
                  <c:v>1300600</c:v>
                </c:pt>
                <c:pt idx="15">
                  <c:v>1450000</c:v>
                </c:pt>
                <c:pt idx="16">
                  <c:v>428000</c:v>
                </c:pt>
                <c:pt idx="17">
                  <c:v>100000</c:v>
                </c:pt>
                <c:pt idx="18">
                  <c:v>100000</c:v>
                </c:pt>
                <c:pt idx="19">
                  <c:v>100000</c:v>
                </c:pt>
                <c:pt idx="20">
                  <c:v>1518750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A-8E9B-4085-92E4-9402ABD484B5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t="100000" r="100000"/>
      </a:path>
      <a:tileRect l="-100000" b="-100000"/>
    </a:gradFill>
    <a:ln w="38100" cap="flat" cmpd="sng" algn="ctr">
      <a:solidFill>
        <a:schemeClr val="accent1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Prihodi i primici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'prihodi 2016-2022'!$C$3</c:f>
              <c:strCache>
                <c:ptCount val="1"/>
                <c:pt idx="0">
                  <c:v>Ostvarenje 2016.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'prihodi 2016-2022'!$B$4:$B$28</c:f>
              <c:strCache>
                <c:ptCount val="25"/>
                <c:pt idx="0">
                  <c:v>Porez i prirez na dohodak</c:v>
                </c:pt>
                <c:pt idx="1">
                  <c:v>Porezi na imovinu</c:v>
                </c:pt>
                <c:pt idx="2">
                  <c:v>Porezi na robu i usluge</c:v>
                </c:pt>
                <c:pt idx="3">
                  <c:v>Ostali prihodi od poreza</c:v>
                </c:pt>
                <c:pt idx="4">
                  <c:v>Pomoći od međunar. organizacija te institucija i tijela EU</c:v>
                </c:pt>
                <c:pt idx="5">
                  <c:v>Potpore iz proracuna</c:v>
                </c:pt>
                <c:pt idx="6">
                  <c:v>Ostale potpore unutar opce drzave</c:v>
                </c:pt>
                <c:pt idx="7">
                  <c:v>Pomoći izravnanja za decentralizirane funkcije</c:v>
                </c:pt>
                <c:pt idx="8">
                  <c:v>Pomoci proracunskim korisnicima iz proracuna koji im nije nadlezan</c:v>
                </c:pt>
                <c:pt idx="9">
                  <c:v>Pomoći temeljem prijenosa EU sr.</c:v>
                </c:pt>
                <c:pt idx="10">
                  <c:v>Prijenosi između proračunskih korisnika istog proračuna</c:v>
                </c:pt>
                <c:pt idx="11">
                  <c:v>Prihodi od financijske imovine</c:v>
                </c:pt>
                <c:pt idx="12">
                  <c:v>Prihodi od nefinancijske imovine</c:v>
                </c:pt>
                <c:pt idx="13">
                  <c:v>Administr. (upravne) pristojbe</c:v>
                </c:pt>
                <c:pt idx="14">
                  <c:v>Prihodi po posebnim propisima</c:v>
                </c:pt>
                <c:pt idx="15">
                  <c:v>Komunalni doprinosi i naknade</c:v>
                </c:pt>
                <c:pt idx="16">
                  <c:v>Prihodi koje proracuni i pror.korisnici ostvare obavljanjem poslova na trzistu (vlastiti prihodi)</c:v>
                </c:pt>
                <c:pt idx="17">
                  <c:v>Donacije od pravnih i fizickih osoba izvan opce drzave</c:v>
                </c:pt>
                <c:pt idx="18">
                  <c:v>Kazne i upravne pristojbe</c:v>
                </c:pt>
                <c:pt idx="19">
                  <c:v>Ostali prihodi</c:v>
                </c:pt>
                <c:pt idx="20">
                  <c:v>Prihodi od prodaje materijalne imovine - prirodnih bogatstava</c:v>
                </c:pt>
                <c:pt idx="21">
                  <c:v>Prihodi od prodaje grad.objekata</c:v>
                </c:pt>
                <c:pt idx="22">
                  <c:v>Prihodi od prodaje građevinskih objekata</c:v>
                </c:pt>
                <c:pt idx="23">
                  <c:v>Prihodi od prodaje prijevoznih sr.</c:v>
                </c:pt>
                <c:pt idx="24">
                  <c:v>Primljeni zajmovi od kreditnih i ostalih financijskih institucija izvan javnog sektora</c:v>
                </c:pt>
              </c:strCache>
            </c:strRef>
          </c:cat>
          <c:val>
            <c:numRef>
              <c:f>'prihodi 2016-2022'!$C$4:$C$28</c:f>
              <c:numCache>
                <c:formatCode>#,##0</c:formatCode>
                <c:ptCount val="25"/>
                <c:pt idx="0">
                  <c:v>45918825</c:v>
                </c:pt>
                <c:pt idx="1">
                  <c:v>7730166</c:v>
                </c:pt>
                <c:pt idx="2">
                  <c:v>2062750</c:v>
                </c:pt>
                <c:pt idx="3">
                  <c:v>0</c:v>
                </c:pt>
                <c:pt idx="4">
                  <c:v>0</c:v>
                </c:pt>
                <c:pt idx="5">
                  <c:v>1894919</c:v>
                </c:pt>
                <c:pt idx="6">
                  <c:v>3239393</c:v>
                </c:pt>
                <c:pt idx="7">
                  <c:v>0</c:v>
                </c:pt>
                <c:pt idx="8">
                  <c:v>461132</c:v>
                </c:pt>
                <c:pt idx="9">
                  <c:v>0</c:v>
                </c:pt>
                <c:pt idx="10">
                  <c:v>0</c:v>
                </c:pt>
                <c:pt idx="11">
                  <c:v>96326</c:v>
                </c:pt>
                <c:pt idx="12">
                  <c:v>6190456</c:v>
                </c:pt>
                <c:pt idx="13">
                  <c:v>1091355</c:v>
                </c:pt>
                <c:pt idx="14">
                  <c:v>6450516</c:v>
                </c:pt>
                <c:pt idx="15">
                  <c:v>47210183</c:v>
                </c:pt>
                <c:pt idx="16">
                  <c:v>1168187</c:v>
                </c:pt>
                <c:pt idx="17">
                  <c:v>2167500</c:v>
                </c:pt>
                <c:pt idx="18">
                  <c:v>54768</c:v>
                </c:pt>
                <c:pt idx="19">
                  <c:v>338765</c:v>
                </c:pt>
                <c:pt idx="20">
                  <c:v>46927</c:v>
                </c:pt>
                <c:pt idx="21">
                  <c:v>102582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C0-4ADB-9675-7747697A9127}"/>
            </c:ext>
          </c:extLst>
        </c:ser>
        <c:ser>
          <c:idx val="1"/>
          <c:order val="1"/>
          <c:tx>
            <c:strRef>
              <c:f>'prihodi 2016-2022'!$D$3</c:f>
              <c:strCache>
                <c:ptCount val="1"/>
                <c:pt idx="0">
                  <c:v>Ostvarenje 2017.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'prihodi 2016-2022'!$B$4:$B$28</c:f>
              <c:strCache>
                <c:ptCount val="25"/>
                <c:pt idx="0">
                  <c:v>Porez i prirez na dohodak</c:v>
                </c:pt>
                <c:pt idx="1">
                  <c:v>Porezi na imovinu</c:v>
                </c:pt>
                <c:pt idx="2">
                  <c:v>Porezi na robu i usluge</c:v>
                </c:pt>
                <c:pt idx="3">
                  <c:v>Ostali prihodi od poreza</c:v>
                </c:pt>
                <c:pt idx="4">
                  <c:v>Pomoći od međunar. organizacija te institucija i tijela EU</c:v>
                </c:pt>
                <c:pt idx="5">
                  <c:v>Potpore iz proracuna</c:v>
                </c:pt>
                <c:pt idx="6">
                  <c:v>Ostale potpore unutar opce drzave</c:v>
                </c:pt>
                <c:pt idx="7">
                  <c:v>Pomoći izravnanja za decentralizirane funkcije</c:v>
                </c:pt>
                <c:pt idx="8">
                  <c:v>Pomoci proracunskim korisnicima iz proracuna koji im nije nadlezan</c:v>
                </c:pt>
                <c:pt idx="9">
                  <c:v>Pomoći temeljem prijenosa EU sr.</c:v>
                </c:pt>
                <c:pt idx="10">
                  <c:v>Prijenosi između proračunskih korisnika istog proračuna</c:v>
                </c:pt>
                <c:pt idx="11">
                  <c:v>Prihodi od financijske imovine</c:v>
                </c:pt>
                <c:pt idx="12">
                  <c:v>Prihodi od nefinancijske imovine</c:v>
                </c:pt>
                <c:pt idx="13">
                  <c:v>Administr. (upravne) pristojbe</c:v>
                </c:pt>
                <c:pt idx="14">
                  <c:v>Prihodi po posebnim propisima</c:v>
                </c:pt>
                <c:pt idx="15">
                  <c:v>Komunalni doprinosi i naknade</c:v>
                </c:pt>
                <c:pt idx="16">
                  <c:v>Prihodi koje proracuni i pror.korisnici ostvare obavljanjem poslova na trzistu (vlastiti prihodi)</c:v>
                </c:pt>
                <c:pt idx="17">
                  <c:v>Donacije od pravnih i fizickih osoba izvan opce drzave</c:v>
                </c:pt>
                <c:pt idx="18">
                  <c:v>Kazne i upravne pristojbe</c:v>
                </c:pt>
                <c:pt idx="19">
                  <c:v>Ostali prihodi</c:v>
                </c:pt>
                <c:pt idx="20">
                  <c:v>Prihodi od prodaje materijalne imovine - prirodnih bogatstava</c:v>
                </c:pt>
                <c:pt idx="21">
                  <c:v>Prihodi od prodaje grad.objekata</c:v>
                </c:pt>
                <c:pt idx="22">
                  <c:v>Prihodi od prodaje građevinskih objekata</c:v>
                </c:pt>
                <c:pt idx="23">
                  <c:v>Prihodi od prodaje prijevoznih sr.</c:v>
                </c:pt>
                <c:pt idx="24">
                  <c:v>Primljeni zajmovi od kreditnih i ostalih financijskih institucija izvan javnog sektora</c:v>
                </c:pt>
              </c:strCache>
            </c:strRef>
          </c:cat>
          <c:val>
            <c:numRef>
              <c:f>'prihodi 2016-2022'!$D$4:$D$28</c:f>
              <c:numCache>
                <c:formatCode>#,##0</c:formatCode>
                <c:ptCount val="25"/>
                <c:pt idx="0">
                  <c:v>45422279</c:v>
                </c:pt>
                <c:pt idx="1">
                  <c:v>9585410</c:v>
                </c:pt>
                <c:pt idx="2">
                  <c:v>1499125</c:v>
                </c:pt>
                <c:pt idx="3">
                  <c:v>0</c:v>
                </c:pt>
                <c:pt idx="4">
                  <c:v>0</c:v>
                </c:pt>
                <c:pt idx="5">
                  <c:v>1061098</c:v>
                </c:pt>
                <c:pt idx="6">
                  <c:v>4465196</c:v>
                </c:pt>
                <c:pt idx="7">
                  <c:v>0</c:v>
                </c:pt>
                <c:pt idx="8">
                  <c:v>476540</c:v>
                </c:pt>
                <c:pt idx="9">
                  <c:v>582550</c:v>
                </c:pt>
                <c:pt idx="10">
                  <c:v>0</c:v>
                </c:pt>
                <c:pt idx="11">
                  <c:v>95625</c:v>
                </c:pt>
                <c:pt idx="12">
                  <c:v>5206568</c:v>
                </c:pt>
                <c:pt idx="13">
                  <c:v>1159856</c:v>
                </c:pt>
                <c:pt idx="14">
                  <c:v>6550646</c:v>
                </c:pt>
                <c:pt idx="15">
                  <c:v>32168424</c:v>
                </c:pt>
                <c:pt idx="16">
                  <c:v>1173262</c:v>
                </c:pt>
                <c:pt idx="17">
                  <c:v>55844</c:v>
                </c:pt>
                <c:pt idx="18">
                  <c:v>143330</c:v>
                </c:pt>
                <c:pt idx="19">
                  <c:v>479825</c:v>
                </c:pt>
                <c:pt idx="20">
                  <c:v>59445</c:v>
                </c:pt>
                <c:pt idx="21">
                  <c:v>142324</c:v>
                </c:pt>
                <c:pt idx="22">
                  <c:v>106168</c:v>
                </c:pt>
                <c:pt idx="23">
                  <c:v>0</c:v>
                </c:pt>
                <c:pt idx="2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C0-4ADB-9675-7747697A9127}"/>
            </c:ext>
          </c:extLst>
        </c:ser>
        <c:ser>
          <c:idx val="2"/>
          <c:order val="2"/>
          <c:tx>
            <c:strRef>
              <c:f>'prihodi 2016-2022'!$E$3</c:f>
              <c:strCache>
                <c:ptCount val="1"/>
                <c:pt idx="0">
                  <c:v>Ostvarenje 2018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'prihodi 2016-2022'!$B$4:$B$28</c:f>
              <c:strCache>
                <c:ptCount val="25"/>
                <c:pt idx="0">
                  <c:v>Porez i prirez na dohodak</c:v>
                </c:pt>
                <c:pt idx="1">
                  <c:v>Porezi na imovinu</c:v>
                </c:pt>
                <c:pt idx="2">
                  <c:v>Porezi na robu i usluge</c:v>
                </c:pt>
                <c:pt idx="3">
                  <c:v>Ostali prihodi od poreza</c:v>
                </c:pt>
                <c:pt idx="4">
                  <c:v>Pomoći od međunar. organizacija te institucija i tijela EU</c:v>
                </c:pt>
                <c:pt idx="5">
                  <c:v>Potpore iz proracuna</c:v>
                </c:pt>
                <c:pt idx="6">
                  <c:v>Ostale potpore unutar opce drzave</c:v>
                </c:pt>
                <c:pt idx="7">
                  <c:v>Pomoći izravnanja za decentralizirane funkcije</c:v>
                </c:pt>
                <c:pt idx="8">
                  <c:v>Pomoci proracunskim korisnicima iz proracuna koji im nije nadlezan</c:v>
                </c:pt>
                <c:pt idx="9">
                  <c:v>Pomoći temeljem prijenosa EU sr.</c:v>
                </c:pt>
                <c:pt idx="10">
                  <c:v>Prijenosi između proračunskih korisnika istog proračuna</c:v>
                </c:pt>
                <c:pt idx="11">
                  <c:v>Prihodi od financijske imovine</c:v>
                </c:pt>
                <c:pt idx="12">
                  <c:v>Prihodi od nefinancijske imovine</c:v>
                </c:pt>
                <c:pt idx="13">
                  <c:v>Administr. (upravne) pristojbe</c:v>
                </c:pt>
                <c:pt idx="14">
                  <c:v>Prihodi po posebnim propisima</c:v>
                </c:pt>
                <c:pt idx="15">
                  <c:v>Komunalni doprinosi i naknade</c:v>
                </c:pt>
                <c:pt idx="16">
                  <c:v>Prihodi koje proracuni i pror.korisnici ostvare obavljanjem poslova na trzistu (vlastiti prihodi)</c:v>
                </c:pt>
                <c:pt idx="17">
                  <c:v>Donacije od pravnih i fizickih osoba izvan opce drzave</c:v>
                </c:pt>
                <c:pt idx="18">
                  <c:v>Kazne i upravne pristojbe</c:v>
                </c:pt>
                <c:pt idx="19">
                  <c:v>Ostali prihodi</c:v>
                </c:pt>
                <c:pt idx="20">
                  <c:v>Prihodi od prodaje materijalne imovine - prirodnih bogatstava</c:v>
                </c:pt>
                <c:pt idx="21">
                  <c:v>Prihodi od prodaje grad.objekata</c:v>
                </c:pt>
                <c:pt idx="22">
                  <c:v>Prihodi od prodaje građevinskih objekata</c:v>
                </c:pt>
                <c:pt idx="23">
                  <c:v>Prihodi od prodaje prijevoznih sr.</c:v>
                </c:pt>
                <c:pt idx="24">
                  <c:v>Primljeni zajmovi od kreditnih i ostalih financijskih institucija izvan javnog sektora</c:v>
                </c:pt>
              </c:strCache>
            </c:strRef>
          </c:cat>
          <c:val>
            <c:numRef>
              <c:f>'prihodi 2016-2022'!$E$4:$E$28</c:f>
              <c:numCache>
                <c:formatCode>#,##0</c:formatCode>
                <c:ptCount val="25"/>
                <c:pt idx="0">
                  <c:v>71160865</c:v>
                </c:pt>
                <c:pt idx="1">
                  <c:v>10500000</c:v>
                </c:pt>
                <c:pt idx="2">
                  <c:v>1805000</c:v>
                </c:pt>
                <c:pt idx="3">
                  <c:v>10000</c:v>
                </c:pt>
                <c:pt idx="4">
                  <c:v>726044</c:v>
                </c:pt>
                <c:pt idx="5">
                  <c:v>4742150</c:v>
                </c:pt>
                <c:pt idx="6">
                  <c:v>4004500</c:v>
                </c:pt>
                <c:pt idx="7">
                  <c:v>0</c:v>
                </c:pt>
                <c:pt idx="8">
                  <c:v>507000</c:v>
                </c:pt>
                <c:pt idx="9">
                  <c:v>5324259</c:v>
                </c:pt>
                <c:pt idx="10">
                  <c:v>570000</c:v>
                </c:pt>
                <c:pt idx="11">
                  <c:v>128000</c:v>
                </c:pt>
                <c:pt idx="12">
                  <c:v>7753000</c:v>
                </c:pt>
                <c:pt idx="13">
                  <c:v>1800000</c:v>
                </c:pt>
                <c:pt idx="14">
                  <c:v>8366962</c:v>
                </c:pt>
                <c:pt idx="15">
                  <c:v>36810000</c:v>
                </c:pt>
                <c:pt idx="16">
                  <c:v>1346100</c:v>
                </c:pt>
                <c:pt idx="17">
                  <c:v>77890</c:v>
                </c:pt>
                <c:pt idx="18">
                  <c:v>220000</c:v>
                </c:pt>
                <c:pt idx="19">
                  <c:v>260000</c:v>
                </c:pt>
                <c:pt idx="20">
                  <c:v>2100000</c:v>
                </c:pt>
                <c:pt idx="21">
                  <c:v>200000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C0-4ADB-9675-7747697A9127}"/>
            </c:ext>
          </c:extLst>
        </c:ser>
        <c:ser>
          <c:idx val="3"/>
          <c:order val="3"/>
          <c:tx>
            <c:strRef>
              <c:f>'prihodi 2016-2022'!$F$3</c:f>
              <c:strCache>
                <c:ptCount val="1"/>
                <c:pt idx="0">
                  <c:v>Ostavrenej 2019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'prihodi 2016-2022'!$B$4:$B$28</c:f>
              <c:strCache>
                <c:ptCount val="25"/>
                <c:pt idx="0">
                  <c:v>Porez i prirez na dohodak</c:v>
                </c:pt>
                <c:pt idx="1">
                  <c:v>Porezi na imovinu</c:v>
                </c:pt>
                <c:pt idx="2">
                  <c:v>Porezi na robu i usluge</c:v>
                </c:pt>
                <c:pt idx="3">
                  <c:v>Ostali prihodi od poreza</c:v>
                </c:pt>
                <c:pt idx="4">
                  <c:v>Pomoći od međunar. organizacija te institucija i tijela EU</c:v>
                </c:pt>
                <c:pt idx="5">
                  <c:v>Potpore iz proracuna</c:v>
                </c:pt>
                <c:pt idx="6">
                  <c:v>Ostale potpore unutar opce drzave</c:v>
                </c:pt>
                <c:pt idx="7">
                  <c:v>Pomoći izravnanja za decentralizirane funkcije</c:v>
                </c:pt>
                <c:pt idx="8">
                  <c:v>Pomoci proracunskim korisnicima iz proracuna koji im nije nadlezan</c:v>
                </c:pt>
                <c:pt idx="9">
                  <c:v>Pomoći temeljem prijenosa EU sr.</c:v>
                </c:pt>
                <c:pt idx="10">
                  <c:v>Prijenosi između proračunskih korisnika istog proračuna</c:v>
                </c:pt>
                <c:pt idx="11">
                  <c:v>Prihodi od financijske imovine</c:v>
                </c:pt>
                <c:pt idx="12">
                  <c:v>Prihodi od nefinancijske imovine</c:v>
                </c:pt>
                <c:pt idx="13">
                  <c:v>Administr. (upravne) pristojbe</c:v>
                </c:pt>
                <c:pt idx="14">
                  <c:v>Prihodi po posebnim propisima</c:v>
                </c:pt>
                <c:pt idx="15">
                  <c:v>Komunalni doprinosi i naknade</c:v>
                </c:pt>
                <c:pt idx="16">
                  <c:v>Prihodi koje proracuni i pror.korisnici ostvare obavljanjem poslova na trzistu (vlastiti prihodi)</c:v>
                </c:pt>
                <c:pt idx="17">
                  <c:v>Donacije od pravnih i fizickih osoba izvan opce drzave</c:v>
                </c:pt>
                <c:pt idx="18">
                  <c:v>Kazne i upravne pristojbe</c:v>
                </c:pt>
                <c:pt idx="19">
                  <c:v>Ostali prihodi</c:v>
                </c:pt>
                <c:pt idx="20">
                  <c:v>Prihodi od prodaje materijalne imovine - prirodnih bogatstava</c:v>
                </c:pt>
                <c:pt idx="21">
                  <c:v>Prihodi od prodaje grad.objekata</c:v>
                </c:pt>
                <c:pt idx="22">
                  <c:v>Prihodi od prodaje građevinskih objekata</c:v>
                </c:pt>
                <c:pt idx="23">
                  <c:v>Prihodi od prodaje prijevoznih sr.</c:v>
                </c:pt>
                <c:pt idx="24">
                  <c:v>Primljeni zajmovi od kreditnih i ostalih financijskih institucija izvan javnog sektora</c:v>
                </c:pt>
              </c:strCache>
            </c:strRef>
          </c:cat>
          <c:val>
            <c:numRef>
              <c:f>'prihodi 2016-2022'!$F$4:$F$28</c:f>
              <c:numCache>
                <c:formatCode>#,##0</c:formatCode>
                <c:ptCount val="25"/>
                <c:pt idx="0">
                  <c:v>86804401</c:v>
                </c:pt>
                <c:pt idx="1">
                  <c:v>10363535</c:v>
                </c:pt>
                <c:pt idx="2">
                  <c:v>1375454</c:v>
                </c:pt>
                <c:pt idx="3">
                  <c:v>0</c:v>
                </c:pt>
                <c:pt idx="4">
                  <c:v>521295</c:v>
                </c:pt>
                <c:pt idx="5">
                  <c:v>4115970</c:v>
                </c:pt>
                <c:pt idx="6">
                  <c:v>2871236</c:v>
                </c:pt>
                <c:pt idx="7">
                  <c:v>0</c:v>
                </c:pt>
                <c:pt idx="8">
                  <c:v>491640</c:v>
                </c:pt>
                <c:pt idx="9">
                  <c:v>1586972</c:v>
                </c:pt>
                <c:pt idx="10">
                  <c:v>552900</c:v>
                </c:pt>
                <c:pt idx="11">
                  <c:v>11289613</c:v>
                </c:pt>
                <c:pt idx="12">
                  <c:v>5258041</c:v>
                </c:pt>
                <c:pt idx="13">
                  <c:v>1296915</c:v>
                </c:pt>
                <c:pt idx="14">
                  <c:v>5991725</c:v>
                </c:pt>
                <c:pt idx="15">
                  <c:v>35472788</c:v>
                </c:pt>
                <c:pt idx="16">
                  <c:v>1072253</c:v>
                </c:pt>
                <c:pt idx="17">
                  <c:v>3163539</c:v>
                </c:pt>
                <c:pt idx="18">
                  <c:v>258208</c:v>
                </c:pt>
                <c:pt idx="19">
                  <c:v>9500</c:v>
                </c:pt>
                <c:pt idx="20">
                  <c:v>335360</c:v>
                </c:pt>
                <c:pt idx="21">
                  <c:v>116291</c:v>
                </c:pt>
                <c:pt idx="22">
                  <c:v>0</c:v>
                </c:pt>
                <c:pt idx="23">
                  <c:v>27865.439999999999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FC0-4ADB-9675-7747697A9127}"/>
            </c:ext>
          </c:extLst>
        </c:ser>
        <c:ser>
          <c:idx val="4"/>
          <c:order val="4"/>
          <c:tx>
            <c:strRef>
              <c:f>'prihodi 2016-2022'!$G$3</c:f>
              <c:strCache>
                <c:ptCount val="1"/>
                <c:pt idx="0">
                  <c:v>plan 2020.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'prihodi 2016-2022'!$B$4:$B$28</c:f>
              <c:strCache>
                <c:ptCount val="25"/>
                <c:pt idx="0">
                  <c:v>Porez i prirez na dohodak</c:v>
                </c:pt>
                <c:pt idx="1">
                  <c:v>Porezi na imovinu</c:v>
                </c:pt>
                <c:pt idx="2">
                  <c:v>Porezi na robu i usluge</c:v>
                </c:pt>
                <c:pt idx="3">
                  <c:v>Ostali prihodi od poreza</c:v>
                </c:pt>
                <c:pt idx="4">
                  <c:v>Pomoći od međunar. organizacija te institucija i tijela EU</c:v>
                </c:pt>
                <c:pt idx="5">
                  <c:v>Potpore iz proracuna</c:v>
                </c:pt>
                <c:pt idx="6">
                  <c:v>Ostale potpore unutar opce drzave</c:v>
                </c:pt>
                <c:pt idx="7">
                  <c:v>Pomoći izravnanja za decentralizirane funkcije</c:v>
                </c:pt>
                <c:pt idx="8">
                  <c:v>Pomoci proracunskim korisnicima iz proracuna koji im nije nadlezan</c:v>
                </c:pt>
                <c:pt idx="9">
                  <c:v>Pomoći temeljem prijenosa EU sr.</c:v>
                </c:pt>
                <c:pt idx="10">
                  <c:v>Prijenosi između proračunskih korisnika istog proračuna</c:v>
                </c:pt>
                <c:pt idx="11">
                  <c:v>Prihodi od financijske imovine</c:v>
                </c:pt>
                <c:pt idx="12">
                  <c:v>Prihodi od nefinancijske imovine</c:v>
                </c:pt>
                <c:pt idx="13">
                  <c:v>Administr. (upravne) pristojbe</c:v>
                </c:pt>
                <c:pt idx="14">
                  <c:v>Prihodi po posebnim propisima</c:v>
                </c:pt>
                <c:pt idx="15">
                  <c:v>Komunalni doprinosi i naknade</c:v>
                </c:pt>
                <c:pt idx="16">
                  <c:v>Prihodi koje proracuni i pror.korisnici ostvare obavljanjem poslova na trzistu (vlastiti prihodi)</c:v>
                </c:pt>
                <c:pt idx="17">
                  <c:v>Donacije od pravnih i fizickih osoba izvan opce drzave</c:v>
                </c:pt>
                <c:pt idx="18">
                  <c:v>Kazne i upravne pristojbe</c:v>
                </c:pt>
                <c:pt idx="19">
                  <c:v>Ostali prihodi</c:v>
                </c:pt>
                <c:pt idx="20">
                  <c:v>Prihodi od prodaje materijalne imovine - prirodnih bogatstava</c:v>
                </c:pt>
                <c:pt idx="21">
                  <c:v>Prihodi od prodaje grad.objekata</c:v>
                </c:pt>
                <c:pt idx="22">
                  <c:v>Prihodi od prodaje građevinskih objekata</c:v>
                </c:pt>
                <c:pt idx="23">
                  <c:v>Prihodi od prodaje prijevoznih sr.</c:v>
                </c:pt>
                <c:pt idx="24">
                  <c:v>Primljeni zajmovi od kreditnih i ostalih financijskih institucija izvan javnog sektora</c:v>
                </c:pt>
              </c:strCache>
            </c:strRef>
          </c:cat>
          <c:val>
            <c:numRef>
              <c:f>'prihodi 2016-2022'!$G$4:$G$28</c:f>
              <c:numCache>
                <c:formatCode>#,##0</c:formatCode>
                <c:ptCount val="25"/>
                <c:pt idx="0">
                  <c:v>84550000</c:v>
                </c:pt>
                <c:pt idx="1">
                  <c:v>9100000</c:v>
                </c:pt>
                <c:pt idx="2">
                  <c:v>1105000</c:v>
                </c:pt>
                <c:pt idx="3">
                  <c:v>10000</c:v>
                </c:pt>
                <c:pt idx="4">
                  <c:v>3004000</c:v>
                </c:pt>
                <c:pt idx="5">
                  <c:v>5060000</c:v>
                </c:pt>
                <c:pt idx="6">
                  <c:v>4380000</c:v>
                </c:pt>
                <c:pt idx="7">
                  <c:v>1750000</c:v>
                </c:pt>
                <c:pt idx="8">
                  <c:v>389140</c:v>
                </c:pt>
                <c:pt idx="9">
                  <c:v>3167200</c:v>
                </c:pt>
                <c:pt idx="10">
                  <c:v>0</c:v>
                </c:pt>
                <c:pt idx="11">
                  <c:v>50000</c:v>
                </c:pt>
                <c:pt idx="12">
                  <c:v>5112904</c:v>
                </c:pt>
                <c:pt idx="13">
                  <c:v>1700000</c:v>
                </c:pt>
                <c:pt idx="14">
                  <c:v>7315100</c:v>
                </c:pt>
                <c:pt idx="15">
                  <c:v>34510000</c:v>
                </c:pt>
                <c:pt idx="16">
                  <c:v>1067100</c:v>
                </c:pt>
                <c:pt idx="17">
                  <c:v>55000</c:v>
                </c:pt>
                <c:pt idx="18">
                  <c:v>320000</c:v>
                </c:pt>
                <c:pt idx="19">
                  <c:v>100000</c:v>
                </c:pt>
                <c:pt idx="20">
                  <c:v>2000000</c:v>
                </c:pt>
                <c:pt idx="21">
                  <c:v>200000</c:v>
                </c:pt>
                <c:pt idx="22">
                  <c:v>400</c:v>
                </c:pt>
                <c:pt idx="23">
                  <c:v>0</c:v>
                </c:pt>
                <c:pt idx="24">
                  <c:v>16000000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FC0-4ADB-9675-7747697A9127}"/>
            </c:ext>
          </c:extLst>
        </c:ser>
        <c:ser>
          <c:idx val="5"/>
          <c:order val="5"/>
          <c:tx>
            <c:strRef>
              <c:f>'prihodi 2016-2022'!$H$3</c:f>
              <c:strCache>
                <c:ptCount val="1"/>
                <c:pt idx="0">
                  <c:v>plan 2021.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'prihodi 2016-2022'!$B$4:$B$28</c:f>
              <c:strCache>
                <c:ptCount val="25"/>
                <c:pt idx="0">
                  <c:v>Porez i prirez na dohodak</c:v>
                </c:pt>
                <c:pt idx="1">
                  <c:v>Porezi na imovinu</c:v>
                </c:pt>
                <c:pt idx="2">
                  <c:v>Porezi na robu i usluge</c:v>
                </c:pt>
                <c:pt idx="3">
                  <c:v>Ostali prihodi od poreza</c:v>
                </c:pt>
                <c:pt idx="4">
                  <c:v>Pomoći od međunar. organizacija te institucija i tijela EU</c:v>
                </c:pt>
                <c:pt idx="5">
                  <c:v>Potpore iz proracuna</c:v>
                </c:pt>
                <c:pt idx="6">
                  <c:v>Ostale potpore unutar opce drzave</c:v>
                </c:pt>
                <c:pt idx="7">
                  <c:v>Pomoći izravnanja za decentralizirane funkcije</c:v>
                </c:pt>
                <c:pt idx="8">
                  <c:v>Pomoci proracunskim korisnicima iz proracuna koji im nije nadlezan</c:v>
                </c:pt>
                <c:pt idx="9">
                  <c:v>Pomoći temeljem prijenosa EU sr.</c:v>
                </c:pt>
                <c:pt idx="10">
                  <c:v>Prijenosi između proračunskih korisnika istog proračuna</c:v>
                </c:pt>
                <c:pt idx="11">
                  <c:v>Prihodi od financijske imovine</c:v>
                </c:pt>
                <c:pt idx="12">
                  <c:v>Prihodi od nefinancijske imovine</c:v>
                </c:pt>
                <c:pt idx="13">
                  <c:v>Administr. (upravne) pristojbe</c:v>
                </c:pt>
                <c:pt idx="14">
                  <c:v>Prihodi po posebnim propisima</c:v>
                </c:pt>
                <c:pt idx="15">
                  <c:v>Komunalni doprinosi i naknade</c:v>
                </c:pt>
                <c:pt idx="16">
                  <c:v>Prihodi koje proracuni i pror.korisnici ostvare obavljanjem poslova na trzistu (vlastiti prihodi)</c:v>
                </c:pt>
                <c:pt idx="17">
                  <c:v>Donacije od pravnih i fizickih osoba izvan opce drzave</c:v>
                </c:pt>
                <c:pt idx="18">
                  <c:v>Kazne i upravne pristojbe</c:v>
                </c:pt>
                <c:pt idx="19">
                  <c:v>Ostali prihodi</c:v>
                </c:pt>
                <c:pt idx="20">
                  <c:v>Prihodi od prodaje materijalne imovine - prirodnih bogatstava</c:v>
                </c:pt>
                <c:pt idx="21">
                  <c:v>Prihodi od prodaje grad.objekata</c:v>
                </c:pt>
                <c:pt idx="22">
                  <c:v>Prihodi od prodaje građevinskih objekata</c:v>
                </c:pt>
                <c:pt idx="23">
                  <c:v>Prihodi od prodaje prijevoznih sr.</c:v>
                </c:pt>
                <c:pt idx="24">
                  <c:v>Primljeni zajmovi od kreditnih i ostalih financijskih institucija izvan javnog sektora</c:v>
                </c:pt>
              </c:strCache>
            </c:strRef>
          </c:cat>
          <c:val>
            <c:numRef>
              <c:f>'prihodi 2016-2022'!$H$4:$H$28</c:f>
              <c:numCache>
                <c:formatCode>#,##0</c:formatCode>
                <c:ptCount val="25"/>
                <c:pt idx="0">
                  <c:v>90760000</c:v>
                </c:pt>
                <c:pt idx="1">
                  <c:v>9100000</c:v>
                </c:pt>
                <c:pt idx="2">
                  <c:v>1105000</c:v>
                </c:pt>
                <c:pt idx="3">
                  <c:v>10000</c:v>
                </c:pt>
                <c:pt idx="4">
                  <c:v>2352000</c:v>
                </c:pt>
                <c:pt idx="5">
                  <c:v>6060000</c:v>
                </c:pt>
                <c:pt idx="6">
                  <c:v>6913000</c:v>
                </c:pt>
                <c:pt idx="7">
                  <c:v>1750000</c:v>
                </c:pt>
                <c:pt idx="8">
                  <c:v>604500</c:v>
                </c:pt>
                <c:pt idx="9">
                  <c:v>9055602</c:v>
                </c:pt>
                <c:pt idx="10">
                  <c:v>0</c:v>
                </c:pt>
                <c:pt idx="11">
                  <c:v>31000</c:v>
                </c:pt>
                <c:pt idx="12">
                  <c:v>6290800</c:v>
                </c:pt>
                <c:pt idx="13">
                  <c:v>1450000</c:v>
                </c:pt>
                <c:pt idx="14">
                  <c:v>16783800</c:v>
                </c:pt>
                <c:pt idx="15">
                  <c:v>38010000</c:v>
                </c:pt>
                <c:pt idx="16">
                  <c:v>1144750</c:v>
                </c:pt>
                <c:pt idx="17">
                  <c:v>94000</c:v>
                </c:pt>
                <c:pt idx="18">
                  <c:v>320000</c:v>
                </c:pt>
                <c:pt idx="19">
                  <c:v>100000</c:v>
                </c:pt>
                <c:pt idx="20">
                  <c:v>1000000</c:v>
                </c:pt>
                <c:pt idx="21">
                  <c:v>200000</c:v>
                </c:pt>
                <c:pt idx="23">
                  <c:v>0</c:v>
                </c:pt>
                <c:pt idx="24">
                  <c:v>6600000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FC0-4ADB-9675-7747697A9127}"/>
            </c:ext>
          </c:extLst>
        </c:ser>
        <c:ser>
          <c:idx val="6"/>
          <c:order val="6"/>
          <c:tx>
            <c:strRef>
              <c:f>'prihodi 2016-2022'!$I$3</c:f>
              <c:strCache>
                <c:ptCount val="1"/>
                <c:pt idx="0">
                  <c:v>plan 2022.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'prihodi 2016-2022'!$B$4:$B$28</c:f>
              <c:strCache>
                <c:ptCount val="25"/>
                <c:pt idx="0">
                  <c:v>Porez i prirez na dohodak</c:v>
                </c:pt>
                <c:pt idx="1">
                  <c:v>Porezi na imovinu</c:v>
                </c:pt>
                <c:pt idx="2">
                  <c:v>Porezi na robu i usluge</c:v>
                </c:pt>
                <c:pt idx="3">
                  <c:v>Ostali prihodi od poreza</c:v>
                </c:pt>
                <c:pt idx="4">
                  <c:v>Pomoći od međunar. organizacija te institucija i tijela EU</c:v>
                </c:pt>
                <c:pt idx="5">
                  <c:v>Potpore iz proracuna</c:v>
                </c:pt>
                <c:pt idx="6">
                  <c:v>Ostale potpore unutar opce drzave</c:v>
                </c:pt>
                <c:pt idx="7">
                  <c:v>Pomoći izravnanja za decentralizirane funkcije</c:v>
                </c:pt>
                <c:pt idx="8">
                  <c:v>Pomoci proracunskim korisnicima iz proracuna koji im nije nadlezan</c:v>
                </c:pt>
                <c:pt idx="9">
                  <c:v>Pomoći temeljem prijenosa EU sr.</c:v>
                </c:pt>
                <c:pt idx="10">
                  <c:v>Prijenosi između proračunskih korisnika istog proračuna</c:v>
                </c:pt>
                <c:pt idx="11">
                  <c:v>Prihodi od financijske imovine</c:v>
                </c:pt>
                <c:pt idx="12">
                  <c:v>Prihodi od nefinancijske imovine</c:v>
                </c:pt>
                <c:pt idx="13">
                  <c:v>Administr. (upravne) pristojbe</c:v>
                </c:pt>
                <c:pt idx="14">
                  <c:v>Prihodi po posebnim propisima</c:v>
                </c:pt>
                <c:pt idx="15">
                  <c:v>Komunalni doprinosi i naknade</c:v>
                </c:pt>
                <c:pt idx="16">
                  <c:v>Prihodi koje proracuni i pror.korisnici ostvare obavljanjem poslova na trzistu (vlastiti prihodi)</c:v>
                </c:pt>
                <c:pt idx="17">
                  <c:v>Donacije od pravnih i fizickih osoba izvan opce drzave</c:v>
                </c:pt>
                <c:pt idx="18">
                  <c:v>Kazne i upravne pristojbe</c:v>
                </c:pt>
                <c:pt idx="19">
                  <c:v>Ostali prihodi</c:v>
                </c:pt>
                <c:pt idx="20">
                  <c:v>Prihodi od prodaje materijalne imovine - prirodnih bogatstava</c:v>
                </c:pt>
                <c:pt idx="21">
                  <c:v>Prihodi od prodaje grad.objekata</c:v>
                </c:pt>
                <c:pt idx="22">
                  <c:v>Prihodi od prodaje građevinskih objekata</c:v>
                </c:pt>
                <c:pt idx="23">
                  <c:v>Prihodi od prodaje prijevoznih sr.</c:v>
                </c:pt>
                <c:pt idx="24">
                  <c:v>Primljeni zajmovi od kreditnih i ostalih financijskih institucija izvan javnog sektora</c:v>
                </c:pt>
              </c:strCache>
            </c:strRef>
          </c:cat>
          <c:val>
            <c:numRef>
              <c:f>'prihodi 2016-2022'!$I$4:$I$28</c:f>
              <c:numCache>
                <c:formatCode>#,##0</c:formatCode>
                <c:ptCount val="25"/>
                <c:pt idx="0">
                  <c:v>80000000</c:v>
                </c:pt>
                <c:pt idx="1">
                  <c:v>13500000</c:v>
                </c:pt>
                <c:pt idx="2">
                  <c:v>1305000</c:v>
                </c:pt>
                <c:pt idx="3">
                  <c:v>10000</c:v>
                </c:pt>
                <c:pt idx="4">
                  <c:v>1825000</c:v>
                </c:pt>
                <c:pt idx="5">
                  <c:v>21690000</c:v>
                </c:pt>
                <c:pt idx="6">
                  <c:v>6500000</c:v>
                </c:pt>
                <c:pt idx="7">
                  <c:v>0</c:v>
                </c:pt>
                <c:pt idx="8">
                  <c:v>514300</c:v>
                </c:pt>
                <c:pt idx="9">
                  <c:v>6852500</c:v>
                </c:pt>
                <c:pt idx="10">
                  <c:v>0</c:v>
                </c:pt>
                <c:pt idx="11">
                  <c:v>211100</c:v>
                </c:pt>
                <c:pt idx="12">
                  <c:v>6700000</c:v>
                </c:pt>
                <c:pt idx="13">
                  <c:v>1950000</c:v>
                </c:pt>
                <c:pt idx="14">
                  <c:v>10681400</c:v>
                </c:pt>
                <c:pt idx="15">
                  <c:v>43010000</c:v>
                </c:pt>
                <c:pt idx="16">
                  <c:v>1300600</c:v>
                </c:pt>
                <c:pt idx="17">
                  <c:v>1450000</c:v>
                </c:pt>
                <c:pt idx="18">
                  <c:v>428000</c:v>
                </c:pt>
                <c:pt idx="19">
                  <c:v>100000</c:v>
                </c:pt>
                <c:pt idx="20">
                  <c:v>100000</c:v>
                </c:pt>
                <c:pt idx="21">
                  <c:v>100000</c:v>
                </c:pt>
                <c:pt idx="22">
                  <c:v>0</c:v>
                </c:pt>
                <c:pt idx="24">
                  <c:v>1518750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FC0-4ADB-9675-7747697A91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51749136"/>
        <c:axId val="851748304"/>
      </c:barChart>
      <c:catAx>
        <c:axId val="851749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51748304"/>
        <c:crosses val="autoZero"/>
        <c:auto val="1"/>
        <c:lblAlgn val="ctr"/>
        <c:lblOffset val="100"/>
        <c:noMultiLvlLbl val="0"/>
      </c:catAx>
      <c:valAx>
        <c:axId val="851748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51749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t="100000" r="100000"/>
      </a:path>
      <a:tileRect l="-100000" b="-100000"/>
    </a:gradFill>
    <a:ln w="38100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i iz</a:t>
            </a:r>
            <a:r>
              <a:rPr lang="hr-HR"/>
              <a:t>d</a:t>
            </a:r>
            <a:r>
              <a:rPr lang="en-US"/>
              <a:t>aci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'rashodi na 2'!$C$19</c:f>
              <c:strCache>
                <c:ptCount val="1"/>
                <c:pt idx="0">
                  <c:v>Plan 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'rashodi na 2'!$B$20:$B$31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neproizvedene imovine</c:v>
                </c:pt>
                <c:pt idx="8">
                  <c:v>Rashodi za nabavu proizvedene dugotrajne imovine</c:v>
                </c:pt>
                <c:pt idx="9">
                  <c:v>Rashodi za plemenite metale, umjetnička i znanstvena djela i ostale vrijednosti</c:v>
                </c:pt>
                <c:pt idx="10">
                  <c:v>Rashodi za dodatna ulaganja na nefinancijskoj imovini</c:v>
                </c:pt>
                <c:pt idx="11">
                  <c:v>Izdaci za otplatu glavnice primljenih kredita i zajmova</c:v>
                </c:pt>
              </c:strCache>
            </c:strRef>
          </c:cat>
          <c:val>
            <c:numRef>
              <c:f>'rashodi na 2'!$C$20:$C$31</c:f>
              <c:numCache>
                <c:formatCode>#,##0</c:formatCode>
                <c:ptCount val="12"/>
                <c:pt idx="0">
                  <c:v>48145402</c:v>
                </c:pt>
                <c:pt idx="1">
                  <c:v>56252552</c:v>
                </c:pt>
                <c:pt idx="2">
                  <c:v>2069001</c:v>
                </c:pt>
                <c:pt idx="3">
                  <c:v>2420300</c:v>
                </c:pt>
                <c:pt idx="4">
                  <c:v>3480000</c:v>
                </c:pt>
                <c:pt idx="5">
                  <c:v>8006000</c:v>
                </c:pt>
                <c:pt idx="6">
                  <c:v>40260850</c:v>
                </c:pt>
                <c:pt idx="7">
                  <c:v>29039310</c:v>
                </c:pt>
                <c:pt idx="8">
                  <c:v>12259600</c:v>
                </c:pt>
                <c:pt idx="9">
                  <c:v>10000</c:v>
                </c:pt>
                <c:pt idx="10">
                  <c:v>19275000</c:v>
                </c:pt>
                <c:pt idx="11">
                  <c:v>10000000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78-408B-B6FB-A29BB29DB647}"/>
            </c:ext>
          </c:extLst>
        </c:ser>
        <c:ser>
          <c:idx val="1"/>
          <c:order val="1"/>
          <c:tx>
            <c:strRef>
              <c:f>'rashodi na 2'!$D$19</c:f>
              <c:strCache>
                <c:ptCount val="1"/>
                <c:pt idx="0">
                  <c:v>Plan 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'rashodi na 2'!$B$20:$B$31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neproizvedene imovine</c:v>
                </c:pt>
                <c:pt idx="8">
                  <c:v>Rashodi za nabavu proizvedene dugotrajne imovine</c:v>
                </c:pt>
                <c:pt idx="9">
                  <c:v>Rashodi za plemenite metale, umjetnička i znanstvena djela i ostale vrijednosti</c:v>
                </c:pt>
                <c:pt idx="10">
                  <c:v>Rashodi za dodatna ulaganja na nefinancijskoj imovini</c:v>
                </c:pt>
                <c:pt idx="11">
                  <c:v>Izdaci za otplatu glavnice primljenih kredita i zajmova</c:v>
                </c:pt>
              </c:strCache>
            </c:strRef>
          </c:cat>
          <c:val>
            <c:numRef>
              <c:f>'rashodi na 2'!$D$20:$D$31</c:f>
              <c:numCache>
                <c:formatCode>#,##0</c:formatCode>
                <c:ptCount val="12"/>
                <c:pt idx="0">
                  <c:v>47078400</c:v>
                </c:pt>
                <c:pt idx="1">
                  <c:v>49517900</c:v>
                </c:pt>
                <c:pt idx="2">
                  <c:v>1075800</c:v>
                </c:pt>
                <c:pt idx="3">
                  <c:v>12535000</c:v>
                </c:pt>
                <c:pt idx="4">
                  <c:v>1390000</c:v>
                </c:pt>
                <c:pt idx="5">
                  <c:v>8139000</c:v>
                </c:pt>
                <c:pt idx="6">
                  <c:v>27650000</c:v>
                </c:pt>
                <c:pt idx="7">
                  <c:v>8937000</c:v>
                </c:pt>
                <c:pt idx="8">
                  <c:v>14798550</c:v>
                </c:pt>
                <c:pt idx="9">
                  <c:v>5000</c:v>
                </c:pt>
                <c:pt idx="10">
                  <c:v>11820000</c:v>
                </c:pt>
                <c:pt idx="11">
                  <c:v>7800000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78-408B-B6FB-A29BB29DB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68510576"/>
        <c:axId val="1268510992"/>
      </c:barChart>
      <c:catAx>
        <c:axId val="1268510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68510992"/>
        <c:crosses val="autoZero"/>
        <c:auto val="1"/>
        <c:lblAlgn val="ctr"/>
        <c:lblOffset val="100"/>
        <c:noMultiLvlLbl val="0"/>
      </c:catAx>
      <c:valAx>
        <c:axId val="1268510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6851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t="100000" r="100000"/>
      </a:path>
      <a:tileRect l="-100000" b="-100000"/>
    </a:gradFill>
    <a:ln w="38100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i izdaci</a:t>
            </a:r>
          </a:p>
        </c:rich>
      </c:tx>
      <c:layout>
        <c:manualLayout>
          <c:xMode val="edge"/>
          <c:yMode val="edge"/>
          <c:x val="0.68660520450019125"/>
          <c:y val="1.70940170940170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86495744469267"/>
          <c:y val="0.19284964379452565"/>
          <c:w val="0.71813735891697894"/>
          <c:h val="0.66080071241094862"/>
        </c:manualLayout>
      </c:layout>
      <c:pie3DChart>
        <c:varyColors val="1"/>
        <c:ser>
          <c:idx val="0"/>
          <c:order val="0"/>
          <c:tx>
            <c:strRef>
              <c:f>'rashodi na 2'!$C$44</c:f>
              <c:strCache>
                <c:ptCount val="1"/>
                <c:pt idx="0">
                  <c:v>Plan 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FA11-4DB9-9CD0-631AA78C1D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FA11-4DB9-9CD0-631AA78C1D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FA11-4DB9-9CD0-631AA78C1D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FA11-4DB9-9CD0-631AA78C1D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FA11-4DB9-9CD0-631AA78C1D0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FA11-4DB9-9CD0-631AA78C1D0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FA11-4DB9-9CD0-631AA78C1D0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FA11-4DB9-9CD0-631AA78C1D0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FA11-4DB9-9CD0-631AA78C1D0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3-FA11-4DB9-9CD0-631AA78C1D0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5-FA11-4DB9-9CD0-631AA78C1D0A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7-FA11-4DB9-9CD0-631AA78C1D0A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FA11-4DB9-9CD0-631AA78C1D0A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FA11-4DB9-9CD0-631AA78C1D0A}"/>
                </c:ext>
              </c:extLst>
            </c:dLbl>
            <c:dLbl>
              <c:idx val="2"/>
              <c:layout>
                <c:manualLayout>
                  <c:x val="0.14479635716181405"/>
                  <c:y val="0.114285714285714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11-4DB9-9CD0-631AA78C1D0A}"/>
                </c:ext>
              </c:extLst>
            </c:dLbl>
            <c:dLbl>
              <c:idx val="3"/>
              <c:layout>
                <c:manualLayout>
                  <c:x val="0.10658620735522423"/>
                  <c:y val="0.1523809523809523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A11-4DB9-9CD0-631AA78C1D0A}"/>
                </c:ext>
              </c:extLst>
            </c:dLbl>
            <c:dLbl>
              <c:idx val="4"/>
              <c:layout>
                <c:manualLayout>
                  <c:x val="5.4298633935680234E-2"/>
                  <c:y val="0.207142857142857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A11-4DB9-9CD0-631AA78C1D0A}"/>
                </c:ext>
              </c:extLst>
            </c:dLbl>
            <c:dLbl>
              <c:idx val="5"/>
              <c:layout>
                <c:manualLayout>
                  <c:x val="1.4077423612954143E-2"/>
                  <c:y val="0.1547619047619047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A11-4DB9-9CD0-631AA78C1D0A}"/>
                </c:ext>
              </c:extLst>
            </c:dLbl>
            <c:dLbl>
              <c:idx val="6"/>
              <c:layout>
                <c:manualLayout>
                  <c:x val="2.0110605161363063E-3"/>
                  <c:y val="9.76190476190476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A11-4DB9-9CD0-631AA78C1D0A}"/>
                </c:ext>
              </c:extLst>
            </c:dLbl>
            <c:dLbl>
              <c:idx val="7"/>
              <c:layout>
                <c:manualLayout>
                  <c:x val="0"/>
                  <c:y val="0.1404761904761904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A11-4DB9-9CD0-631AA78C1D0A}"/>
                </c:ext>
              </c:extLst>
            </c:dLbl>
            <c:dLbl>
              <c:idx val="8"/>
              <c:layout>
                <c:manualLayout>
                  <c:x val="-5.559119093435963E-2"/>
                  <c:y val="1.70940170940170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A11-4DB9-9CD0-631AA78C1D0A}"/>
                </c:ext>
              </c:extLst>
            </c:dLbl>
            <c:dLbl>
              <c:idx val="9"/>
              <c:layout>
                <c:manualLayout>
                  <c:x val="-4.2232270838862433E-2"/>
                  <c:y val="-0.1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A11-4DB9-9CD0-631AA78C1D0A}"/>
                </c:ext>
              </c:extLst>
            </c:dLbl>
            <c:dLbl>
              <c:idx val="10"/>
              <c:layout>
                <c:manualLayout>
                  <c:x val="0.10055302580681531"/>
                  <c:y val="-0.1261904761904761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A11-4DB9-9CD0-631AA78C1D0A}"/>
                </c:ext>
              </c:extLst>
            </c:dLbl>
            <c:dLbl>
              <c:idx val="11"/>
              <c:layout>
                <c:manualLayout>
                  <c:x val="0.15485165974249557"/>
                  <c:y val="-0.1023809523809523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A11-4DB9-9CD0-631AA78C1D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'rashodi na 2'!$B$45:$B$56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neproizvedene imovine</c:v>
                </c:pt>
                <c:pt idx="8">
                  <c:v>Rashodi za nabavu proizvedene dugotrajne imovine</c:v>
                </c:pt>
                <c:pt idx="9">
                  <c:v>Rashodi za plemenite metale, umjetnička i znanstvena djela i ostale vrijednosti</c:v>
                </c:pt>
                <c:pt idx="10">
                  <c:v>Rashodi za dodatna ulaganja na nefinancijskoj imovini</c:v>
                </c:pt>
                <c:pt idx="11">
                  <c:v>Izdaci za otplatu glavnice primljenih kredita i zajmova</c:v>
                </c:pt>
              </c:strCache>
            </c:strRef>
          </c:cat>
          <c:val>
            <c:numRef>
              <c:f>'rashodi na 2'!$C$45:$C$56</c:f>
              <c:numCache>
                <c:formatCode>#,##0</c:formatCode>
                <c:ptCount val="12"/>
                <c:pt idx="0">
                  <c:v>47078400</c:v>
                </c:pt>
                <c:pt idx="1">
                  <c:v>49517900</c:v>
                </c:pt>
                <c:pt idx="2">
                  <c:v>1075800</c:v>
                </c:pt>
                <c:pt idx="3">
                  <c:v>12535000</c:v>
                </c:pt>
                <c:pt idx="4">
                  <c:v>1390000</c:v>
                </c:pt>
                <c:pt idx="5">
                  <c:v>8139000</c:v>
                </c:pt>
                <c:pt idx="6">
                  <c:v>27650000</c:v>
                </c:pt>
                <c:pt idx="7">
                  <c:v>8937000</c:v>
                </c:pt>
                <c:pt idx="8">
                  <c:v>14798550</c:v>
                </c:pt>
                <c:pt idx="9">
                  <c:v>5000</c:v>
                </c:pt>
                <c:pt idx="10">
                  <c:v>11820000</c:v>
                </c:pt>
                <c:pt idx="11">
                  <c:v>7800000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FA11-4DB9-9CD0-631AA78C1D0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t="100000" r="100000"/>
      </a:path>
      <a:tileRect l="-100000" b="-100000"/>
    </a:gradFill>
    <a:ln w="38100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i izdaci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'rashodi usporedba'!$C$4</c:f>
              <c:strCache>
                <c:ptCount val="1"/>
                <c:pt idx="0">
                  <c:v>Ostvarenje 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'rashodi usporedba'!$B$5:$B$16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gradanima i kucanstvima na temelju osiguranja i druge naknade</c:v>
                </c:pt>
                <c:pt idx="6">
                  <c:v>Ostali rashodi</c:v>
                </c:pt>
                <c:pt idx="7">
                  <c:v>Rashodi za nabavu neproizvedene imovine</c:v>
                </c:pt>
                <c:pt idx="8">
                  <c:v>Rashodi za nabavu proizvedene dugot.imovine </c:v>
                </c:pt>
                <c:pt idx="9">
                  <c:v>Rashodi za plemenite metale, umjetnicka i znanstv. djela i ost.vrijedn.</c:v>
                </c:pt>
                <c:pt idx="10">
                  <c:v>Rashodi za dodatna ulaganja na nefinancijskoj imovini</c:v>
                </c:pt>
                <c:pt idx="11">
                  <c:v>Izdaci za otplatu glavnice primljenih kredita i zajmova</c:v>
                </c:pt>
              </c:strCache>
            </c:strRef>
          </c:cat>
          <c:val>
            <c:numRef>
              <c:f>'rashodi usporedba'!$C$5:$C$16</c:f>
              <c:numCache>
                <c:formatCode>#,##0</c:formatCode>
                <c:ptCount val="12"/>
                <c:pt idx="0">
                  <c:v>33037896</c:v>
                </c:pt>
                <c:pt idx="1">
                  <c:v>29068548</c:v>
                </c:pt>
                <c:pt idx="2">
                  <c:v>640288</c:v>
                </c:pt>
                <c:pt idx="3">
                  <c:v>155711</c:v>
                </c:pt>
                <c:pt idx="4">
                  <c:v>20000</c:v>
                </c:pt>
                <c:pt idx="5">
                  <c:v>7345362</c:v>
                </c:pt>
                <c:pt idx="6">
                  <c:v>21430308</c:v>
                </c:pt>
                <c:pt idx="7">
                  <c:v>4087019</c:v>
                </c:pt>
                <c:pt idx="8">
                  <c:v>4191581</c:v>
                </c:pt>
                <c:pt idx="9" formatCode="General">
                  <c:v>0</c:v>
                </c:pt>
                <c:pt idx="10">
                  <c:v>6678252</c:v>
                </c:pt>
                <c:pt idx="11">
                  <c:v>323132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FF-410E-A49D-E5D1327FEDD3}"/>
            </c:ext>
          </c:extLst>
        </c:ser>
        <c:ser>
          <c:idx val="1"/>
          <c:order val="1"/>
          <c:tx>
            <c:strRef>
              <c:f>'rashodi usporedba'!$D$4</c:f>
              <c:strCache>
                <c:ptCount val="1"/>
                <c:pt idx="0">
                  <c:v>Ostvarenje 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'rashodi usporedba'!$B$5:$B$16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gradanima i kucanstvima na temelju osiguranja i druge naknade</c:v>
                </c:pt>
                <c:pt idx="6">
                  <c:v>Ostali rashodi</c:v>
                </c:pt>
                <c:pt idx="7">
                  <c:v>Rashodi za nabavu neproizvedene imovine</c:v>
                </c:pt>
                <c:pt idx="8">
                  <c:v>Rashodi za nabavu proizvedene dugot.imovine </c:v>
                </c:pt>
                <c:pt idx="9">
                  <c:v>Rashodi za plemenite metale, umjetnicka i znanstv. djela i ost.vrijedn.</c:v>
                </c:pt>
                <c:pt idx="10">
                  <c:v>Rashodi za dodatna ulaganja na nefinancijskoj imovini</c:v>
                </c:pt>
                <c:pt idx="11">
                  <c:v>Izdaci za otplatu glavnice primljenih kredita i zajmova</c:v>
                </c:pt>
              </c:strCache>
            </c:strRef>
          </c:cat>
          <c:val>
            <c:numRef>
              <c:f>'rashodi usporedba'!$D$5:$D$16</c:f>
              <c:numCache>
                <c:formatCode>#,##0</c:formatCode>
                <c:ptCount val="12"/>
                <c:pt idx="0">
                  <c:v>35190770</c:v>
                </c:pt>
                <c:pt idx="1">
                  <c:v>31703634</c:v>
                </c:pt>
                <c:pt idx="2">
                  <c:v>750863</c:v>
                </c:pt>
                <c:pt idx="3">
                  <c:v>63108</c:v>
                </c:pt>
                <c:pt idx="4" formatCode="General">
                  <c:v>0</c:v>
                </c:pt>
                <c:pt idx="5">
                  <c:v>7677253</c:v>
                </c:pt>
                <c:pt idx="6">
                  <c:v>24603728</c:v>
                </c:pt>
                <c:pt idx="7">
                  <c:v>3192642</c:v>
                </c:pt>
                <c:pt idx="8">
                  <c:v>8635281</c:v>
                </c:pt>
                <c:pt idx="9" formatCode="General">
                  <c:v>0</c:v>
                </c:pt>
                <c:pt idx="10">
                  <c:v>7518215</c:v>
                </c:pt>
                <c:pt idx="11">
                  <c:v>338613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FF-410E-A49D-E5D1327FEDD3}"/>
            </c:ext>
          </c:extLst>
        </c:ser>
        <c:ser>
          <c:idx val="2"/>
          <c:order val="2"/>
          <c:tx>
            <c:strRef>
              <c:f>'rashodi usporedba'!$E$4</c:f>
              <c:strCache>
                <c:ptCount val="1"/>
                <c:pt idx="0">
                  <c:v>Ostvarenje 2018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'rashodi usporedba'!$B$5:$B$16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gradanima i kucanstvima na temelju osiguranja i druge naknade</c:v>
                </c:pt>
                <c:pt idx="6">
                  <c:v>Ostali rashodi</c:v>
                </c:pt>
                <c:pt idx="7">
                  <c:v>Rashodi za nabavu neproizvedene imovine</c:v>
                </c:pt>
                <c:pt idx="8">
                  <c:v>Rashodi za nabavu proizvedene dugot.imovine </c:v>
                </c:pt>
                <c:pt idx="9">
                  <c:v>Rashodi za plemenite metale, umjetnicka i znanstv. djela i ost.vrijedn.</c:v>
                </c:pt>
                <c:pt idx="10">
                  <c:v>Rashodi za dodatna ulaganja na nefinancijskoj imovini</c:v>
                </c:pt>
                <c:pt idx="11">
                  <c:v>Izdaci za otplatu glavnice primljenih kredita i zajmova</c:v>
                </c:pt>
              </c:strCache>
            </c:strRef>
          </c:cat>
          <c:val>
            <c:numRef>
              <c:f>'rashodi usporedba'!$E$5:$E$16</c:f>
              <c:numCache>
                <c:formatCode>#,##0</c:formatCode>
                <c:ptCount val="12"/>
                <c:pt idx="0">
                  <c:v>38990150</c:v>
                </c:pt>
                <c:pt idx="1">
                  <c:v>46979907</c:v>
                </c:pt>
                <c:pt idx="2">
                  <c:v>924000</c:v>
                </c:pt>
                <c:pt idx="3">
                  <c:v>230000</c:v>
                </c:pt>
                <c:pt idx="4">
                  <c:v>1019000</c:v>
                </c:pt>
                <c:pt idx="5">
                  <c:v>9370000</c:v>
                </c:pt>
                <c:pt idx="6">
                  <c:v>33405000</c:v>
                </c:pt>
                <c:pt idx="7">
                  <c:v>14662350</c:v>
                </c:pt>
                <c:pt idx="8">
                  <c:v>9838340</c:v>
                </c:pt>
                <c:pt idx="9">
                  <c:v>10000</c:v>
                </c:pt>
                <c:pt idx="10">
                  <c:v>7175000</c:v>
                </c:pt>
                <c:pt idx="11">
                  <c:v>150000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FF-410E-A49D-E5D1327FEDD3}"/>
            </c:ext>
          </c:extLst>
        </c:ser>
        <c:ser>
          <c:idx val="3"/>
          <c:order val="3"/>
          <c:tx>
            <c:strRef>
              <c:f>'rashodi usporedba'!$F$4</c:f>
              <c:strCache>
                <c:ptCount val="1"/>
                <c:pt idx="0">
                  <c:v>Ostvarenje 2019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'rashodi usporedba'!$B$5:$B$16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gradanima i kucanstvima na temelju osiguranja i druge naknade</c:v>
                </c:pt>
                <c:pt idx="6">
                  <c:v>Ostali rashodi</c:v>
                </c:pt>
                <c:pt idx="7">
                  <c:v>Rashodi za nabavu neproizvedene imovine</c:v>
                </c:pt>
                <c:pt idx="8">
                  <c:v>Rashodi za nabavu proizvedene dugot.imovine </c:v>
                </c:pt>
                <c:pt idx="9">
                  <c:v>Rashodi za plemenite metale, umjetnicka i znanstv. djela i ost.vrijedn.</c:v>
                </c:pt>
                <c:pt idx="10">
                  <c:v>Rashodi za dodatna ulaganja na nefinancijskoj imovini</c:v>
                </c:pt>
                <c:pt idx="11">
                  <c:v>Izdaci za otplatu glavnice primljenih kredita i zajmova</c:v>
                </c:pt>
              </c:strCache>
            </c:strRef>
          </c:cat>
          <c:val>
            <c:numRef>
              <c:f>'rashodi usporedba'!$F$5:$F$16</c:f>
              <c:numCache>
                <c:formatCode>#,##0</c:formatCode>
                <c:ptCount val="12"/>
                <c:pt idx="0">
                  <c:v>39449000</c:v>
                </c:pt>
                <c:pt idx="1">
                  <c:v>39664741</c:v>
                </c:pt>
                <c:pt idx="2">
                  <c:v>297302</c:v>
                </c:pt>
                <c:pt idx="3">
                  <c:v>3013901</c:v>
                </c:pt>
                <c:pt idx="4">
                  <c:v>1031893</c:v>
                </c:pt>
                <c:pt idx="5">
                  <c:v>9151914</c:v>
                </c:pt>
                <c:pt idx="6">
                  <c:v>36232256</c:v>
                </c:pt>
                <c:pt idx="7">
                  <c:v>5233425</c:v>
                </c:pt>
                <c:pt idx="8">
                  <c:v>7655886</c:v>
                </c:pt>
                <c:pt idx="9" formatCode="General">
                  <c:v>0</c:v>
                </c:pt>
                <c:pt idx="10">
                  <c:v>13208688</c:v>
                </c:pt>
                <c:pt idx="11" formatCode="General">
                  <c:v>6596.76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6FF-410E-A49D-E5D1327FEDD3}"/>
            </c:ext>
          </c:extLst>
        </c:ser>
        <c:ser>
          <c:idx val="4"/>
          <c:order val="4"/>
          <c:tx>
            <c:strRef>
              <c:f>'rashodi usporedba'!$G$4</c:f>
              <c:strCache>
                <c:ptCount val="1"/>
                <c:pt idx="0">
                  <c:v>Plan 2020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'rashodi usporedba'!$B$5:$B$16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gradanima i kucanstvima na temelju osiguranja i druge naknade</c:v>
                </c:pt>
                <c:pt idx="6">
                  <c:v>Ostali rashodi</c:v>
                </c:pt>
                <c:pt idx="7">
                  <c:v>Rashodi za nabavu neproizvedene imovine</c:v>
                </c:pt>
                <c:pt idx="8">
                  <c:v>Rashodi za nabavu proizvedene dugot.imovine </c:v>
                </c:pt>
                <c:pt idx="9">
                  <c:v>Rashodi za plemenite metale, umjetnicka i znanstv. djela i ost.vrijedn.</c:v>
                </c:pt>
                <c:pt idx="10">
                  <c:v>Rashodi za dodatna ulaganja na nefinancijskoj imovini</c:v>
                </c:pt>
                <c:pt idx="11">
                  <c:v>Izdaci za otplatu glavnice primljenih kredita i zajmova</c:v>
                </c:pt>
              </c:strCache>
            </c:strRef>
          </c:cat>
          <c:val>
            <c:numRef>
              <c:f>'rashodi usporedba'!$G$5:$G$16</c:f>
              <c:numCache>
                <c:formatCode>#,##0</c:formatCode>
                <c:ptCount val="12"/>
                <c:pt idx="0">
                  <c:v>44158200</c:v>
                </c:pt>
                <c:pt idx="1">
                  <c:v>48709840</c:v>
                </c:pt>
                <c:pt idx="2">
                  <c:v>916200</c:v>
                </c:pt>
                <c:pt idx="3">
                  <c:v>1400000</c:v>
                </c:pt>
                <c:pt idx="4">
                  <c:v>825000</c:v>
                </c:pt>
                <c:pt idx="5">
                  <c:v>9950000</c:v>
                </c:pt>
                <c:pt idx="6">
                  <c:v>45649750</c:v>
                </c:pt>
                <c:pt idx="7">
                  <c:v>38374000</c:v>
                </c:pt>
                <c:pt idx="8">
                  <c:v>15951950</c:v>
                </c:pt>
                <c:pt idx="9">
                  <c:v>10000</c:v>
                </c:pt>
                <c:pt idx="10">
                  <c:v>14230000</c:v>
                </c:pt>
                <c:pt idx="11" formatCode="General">
                  <c:v>200000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6FF-410E-A49D-E5D1327FEDD3}"/>
            </c:ext>
          </c:extLst>
        </c:ser>
        <c:ser>
          <c:idx val="5"/>
          <c:order val="5"/>
          <c:tx>
            <c:strRef>
              <c:f>'rashodi usporedba'!$H$4</c:f>
              <c:strCache>
                <c:ptCount val="1"/>
                <c:pt idx="0">
                  <c:v>Plan 2021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'rashodi usporedba'!$B$5:$B$16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gradanima i kucanstvima na temelju osiguranja i druge naknade</c:v>
                </c:pt>
                <c:pt idx="6">
                  <c:v>Ostali rashodi</c:v>
                </c:pt>
                <c:pt idx="7">
                  <c:v>Rashodi za nabavu neproizvedene imovine</c:v>
                </c:pt>
                <c:pt idx="8">
                  <c:v>Rashodi za nabavu proizvedene dugot.imovine </c:v>
                </c:pt>
                <c:pt idx="9">
                  <c:v>Rashodi za plemenite metale, umjetnicka i znanstv. djela i ost.vrijedn.</c:v>
                </c:pt>
                <c:pt idx="10">
                  <c:v>Rashodi za dodatna ulaganja na nefinancijskoj imovini</c:v>
                </c:pt>
                <c:pt idx="11">
                  <c:v>Izdaci za otplatu glavnice primljenih kredita i zajmova</c:v>
                </c:pt>
              </c:strCache>
            </c:strRef>
          </c:cat>
          <c:val>
            <c:numRef>
              <c:f>'rashodi usporedba'!$H$5:$H$16</c:f>
              <c:numCache>
                <c:formatCode>#,##0</c:formatCode>
                <c:ptCount val="12"/>
                <c:pt idx="0">
                  <c:v>47338202</c:v>
                </c:pt>
                <c:pt idx="1">
                  <c:v>51299100</c:v>
                </c:pt>
                <c:pt idx="2">
                  <c:v>768200</c:v>
                </c:pt>
                <c:pt idx="3">
                  <c:v>1040000</c:v>
                </c:pt>
                <c:pt idx="4">
                  <c:v>8325000</c:v>
                </c:pt>
                <c:pt idx="5">
                  <c:v>10876000</c:v>
                </c:pt>
                <c:pt idx="6">
                  <c:v>40345000</c:v>
                </c:pt>
                <c:pt idx="7">
                  <c:v>28310000</c:v>
                </c:pt>
                <c:pt idx="8">
                  <c:v>13592950</c:v>
                </c:pt>
                <c:pt idx="9">
                  <c:v>10000</c:v>
                </c:pt>
                <c:pt idx="10">
                  <c:v>16830000</c:v>
                </c:pt>
                <c:pt idx="11">
                  <c:v>13000000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6FF-410E-A49D-E5D1327FEDD3}"/>
            </c:ext>
          </c:extLst>
        </c:ser>
        <c:ser>
          <c:idx val="6"/>
          <c:order val="6"/>
          <c:tx>
            <c:strRef>
              <c:f>'rashodi usporedba'!$I$4</c:f>
              <c:strCache>
                <c:ptCount val="1"/>
                <c:pt idx="0">
                  <c:v>Plan 2022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'rashodi usporedba'!$B$5:$B$16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gradanima i kucanstvima na temelju osiguranja i druge naknade</c:v>
                </c:pt>
                <c:pt idx="6">
                  <c:v>Ostali rashodi</c:v>
                </c:pt>
                <c:pt idx="7">
                  <c:v>Rashodi za nabavu neproizvedene imovine</c:v>
                </c:pt>
                <c:pt idx="8">
                  <c:v>Rashodi za nabavu proizvedene dugot.imovine </c:v>
                </c:pt>
                <c:pt idx="9">
                  <c:v>Rashodi za plemenite metale, umjetnicka i znanstv. djela i ost.vrijedn.</c:v>
                </c:pt>
                <c:pt idx="10">
                  <c:v>Rashodi za dodatna ulaganja na nefinancijskoj imovini</c:v>
                </c:pt>
                <c:pt idx="11">
                  <c:v>Izdaci za otplatu glavnice primljenih kredita i zajmova</c:v>
                </c:pt>
              </c:strCache>
            </c:strRef>
          </c:cat>
          <c:val>
            <c:numRef>
              <c:f>'rashodi usporedba'!$I$5:$I$16</c:f>
              <c:numCache>
                <c:formatCode>#,##0</c:formatCode>
                <c:ptCount val="12"/>
                <c:pt idx="0">
                  <c:v>47078400</c:v>
                </c:pt>
                <c:pt idx="1">
                  <c:v>49517900</c:v>
                </c:pt>
                <c:pt idx="2">
                  <c:v>1075800</c:v>
                </c:pt>
                <c:pt idx="3">
                  <c:v>12535000</c:v>
                </c:pt>
                <c:pt idx="4">
                  <c:v>1390000</c:v>
                </c:pt>
                <c:pt idx="5">
                  <c:v>8139000</c:v>
                </c:pt>
                <c:pt idx="6">
                  <c:v>27650000</c:v>
                </c:pt>
                <c:pt idx="7">
                  <c:v>8937000</c:v>
                </c:pt>
                <c:pt idx="8">
                  <c:v>14798550</c:v>
                </c:pt>
                <c:pt idx="9">
                  <c:v>5000</c:v>
                </c:pt>
                <c:pt idx="10">
                  <c:v>11820000</c:v>
                </c:pt>
                <c:pt idx="11">
                  <c:v>7800000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FF-410E-A49D-E5D1327FED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96531296"/>
        <c:axId val="996531712"/>
      </c:barChart>
      <c:catAx>
        <c:axId val="996531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96531712"/>
        <c:crosses val="autoZero"/>
        <c:auto val="1"/>
        <c:lblAlgn val="ctr"/>
        <c:lblOffset val="100"/>
        <c:noMultiLvlLbl val="0"/>
      </c:catAx>
      <c:valAx>
        <c:axId val="996531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96531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t="100000" r="100000"/>
      </a:path>
      <a:tileRect l="-100000" b="-100000"/>
    </a:gradFill>
    <a:ln w="38100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i izdaci</a:t>
            </a:r>
          </a:p>
        </c:rich>
      </c:tx>
      <c:layout>
        <c:manualLayout>
          <c:xMode val="edge"/>
          <c:yMode val="edge"/>
          <c:x val="0.71499345936472503"/>
          <c:y val="2.5641025641025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305790272046655"/>
          <c:y val="0.21976125496089319"/>
          <c:w val="0.69112173999417492"/>
          <c:h val="0.61071301659394084"/>
        </c:manualLayout>
      </c:layout>
      <c:pie3DChart>
        <c:varyColors val="1"/>
        <c:ser>
          <c:idx val="0"/>
          <c:order val="0"/>
          <c:tx>
            <c:strRef>
              <c:f>'funkc.kl.'!$C$49</c:f>
              <c:strCache>
                <c:ptCount val="1"/>
                <c:pt idx="0">
                  <c:v>Plan 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2AC6-46C9-B194-BAC10643D9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2AC6-46C9-B194-BAC10643D9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2AC6-46C9-B194-BAC10643D9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2AC6-46C9-B194-BAC10643D94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2AC6-46C9-B194-BAC10643D94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2AC6-46C9-B194-BAC10643D94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2AC6-46C9-B194-BAC10643D94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2AC6-46C9-B194-BAC10643D94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2AC6-46C9-B194-BAC10643D94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2AC6-46C9-B194-BAC10643D94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2AC6-46C9-B194-BAC10643D940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2AC6-46C9-B194-BAC10643D940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2AC6-46C9-B194-BAC10643D940}"/>
                </c:ext>
              </c:extLst>
            </c:dLbl>
            <c:dLbl>
              <c:idx val="4"/>
              <c:layout>
                <c:manualLayout>
                  <c:x val="0.23091733882847701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44772289929437"/>
                      <c:h val="0.169350007719623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2AC6-46C9-B194-BAC10643D940}"/>
                </c:ext>
              </c:extLst>
            </c:dLbl>
            <c:dLbl>
              <c:idx val="5"/>
              <c:layout>
                <c:manualLayout>
                  <c:x val="3.8461538461538464E-2"/>
                  <c:y val="0.1913439635535307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AC6-46C9-B194-BAC10643D940}"/>
                </c:ext>
              </c:extLst>
            </c:dLbl>
            <c:dLbl>
              <c:idx val="6"/>
              <c:layout>
                <c:manualLayout>
                  <c:x val="0"/>
                  <c:y val="0.1184510250569476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AC6-46C9-B194-BAC10643D940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2AC6-46C9-B194-BAC10643D940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1-2AC6-46C9-B194-BAC10643D940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'funkc.kl.'!$B$50:$B$58</c:f>
              <c:strCache>
                <c:ptCount val="9"/>
                <c:pt idx="0">
                  <c:v>OPĆE JAVNE USLUGE</c:v>
                </c:pt>
                <c:pt idx="1">
                  <c:v>JAVNI RED I SIGURNOST</c:v>
                </c:pt>
                <c:pt idx="2">
                  <c:v>EKONOMSKI POSLOVI</c:v>
                </c:pt>
                <c:pt idx="3">
                  <c:v>ZAŠTITA OKOLIŠA</c:v>
                </c:pt>
                <c:pt idx="4">
                  <c:v>USLUGE UNAPREĐENJA STANOVANJA I ZAJEDNICE</c:v>
                </c:pt>
                <c:pt idx="5">
                  <c:v>ZDRAVSTVO</c:v>
                </c:pt>
                <c:pt idx="6">
                  <c:v>REKREACIJA, KULTURA, RELIGIJA</c:v>
                </c:pt>
                <c:pt idx="7">
                  <c:v>OBRAZOVANJE</c:v>
                </c:pt>
                <c:pt idx="8">
                  <c:v>SOCIJALNA ZAŠTITA</c:v>
                </c:pt>
              </c:strCache>
            </c:strRef>
          </c:cat>
          <c:val>
            <c:numRef>
              <c:f>'funkc.kl.'!$C$50:$C$58</c:f>
              <c:numCache>
                <c:formatCode>#,##0</c:formatCode>
                <c:ptCount val="9"/>
                <c:pt idx="0">
                  <c:v>37138200</c:v>
                </c:pt>
                <c:pt idx="1">
                  <c:v>5055000</c:v>
                </c:pt>
                <c:pt idx="2">
                  <c:v>28206000</c:v>
                </c:pt>
                <c:pt idx="3">
                  <c:v>3905000</c:v>
                </c:pt>
                <c:pt idx="4">
                  <c:v>51324250</c:v>
                </c:pt>
                <c:pt idx="5">
                  <c:v>600000</c:v>
                </c:pt>
                <c:pt idx="6">
                  <c:v>18114200</c:v>
                </c:pt>
                <c:pt idx="7">
                  <c:v>36505000</c:v>
                </c:pt>
                <c:pt idx="8">
                  <c:v>9899000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2AC6-46C9-B194-BAC10643D94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t="100000" r="100000"/>
      </a:path>
      <a:tileRect l="-100000" b="-100000"/>
    </a:gradFill>
    <a:ln w="38100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i izdaci</a:t>
            </a:r>
          </a:p>
        </c:rich>
      </c:tx>
      <c:layout>
        <c:manualLayout>
          <c:xMode val="edge"/>
          <c:yMode val="edge"/>
          <c:x val="1.1551081772251235E-2"/>
          <c:y val="2.5641025641025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188169952136355"/>
          <c:y val="0.18871360258049935"/>
          <c:w val="0.61063455105315168"/>
          <c:h val="0.55939452773882714"/>
        </c:manualLayout>
      </c:layout>
      <c:pie3DChart>
        <c:varyColors val="1"/>
        <c:ser>
          <c:idx val="0"/>
          <c:order val="0"/>
          <c:tx>
            <c:strRef>
              <c:f>'org.kl.'!$C$40</c:f>
              <c:strCache>
                <c:ptCount val="1"/>
                <c:pt idx="0">
                  <c:v>Plan 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361-47C8-B75C-3B87EEB14E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361-47C8-B75C-3B87EEB14EC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361-47C8-B75C-3B87EEB14EC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361-47C8-B75C-3B87EEB14EC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8361-47C8-B75C-3B87EEB14EC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8361-47C8-B75C-3B87EEB14EC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8361-47C8-B75C-3B87EEB14EC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8361-47C8-B75C-3B87EEB14EC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8361-47C8-B75C-3B87EEB14EC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3-8361-47C8-B75C-3B87EEB14ECB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5-8361-47C8-B75C-3B87EEB14ECB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7-8361-47C8-B75C-3B87EEB14ECB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9-8361-47C8-B75C-3B87EEB14ECB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B-8361-47C8-B75C-3B87EEB14ECB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D-8361-47C8-B75C-3B87EEB14ECB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8361-47C8-B75C-3B87EEB14ECB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8361-47C8-B75C-3B87EEB14ECB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8361-47C8-B75C-3B87EEB14ECB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8361-47C8-B75C-3B87EEB14ECB}"/>
                </c:ext>
              </c:extLst>
            </c:dLbl>
            <c:dLbl>
              <c:idx val="4"/>
              <c:layout>
                <c:manualLayout>
                  <c:x val="2.5641021658820203E-2"/>
                  <c:y val="0.1061130141744973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361-47C8-B75C-3B87EEB14ECB}"/>
                </c:ext>
              </c:extLst>
            </c:dLbl>
            <c:dLbl>
              <c:idx val="5"/>
              <c:layout>
                <c:manualLayout>
                  <c:x val="4.9309657036192979E-2"/>
                  <c:y val="0.196078395757223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361-47C8-B75C-3B87EEB14ECB}"/>
                </c:ext>
              </c:extLst>
            </c:dLbl>
            <c:dLbl>
              <c:idx val="6"/>
              <c:layout>
                <c:manualLayout>
                  <c:x val="-6.1143974724879292E-2"/>
                  <c:y val="4.15224838074119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361-47C8-B75C-3B87EEB14ECB}"/>
                </c:ext>
              </c:extLst>
            </c:dLbl>
            <c:dLbl>
              <c:idx val="7"/>
              <c:layout>
                <c:manualLayout>
                  <c:x val="-3.5502953066058947E-2"/>
                  <c:y val="0.1614763259177131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361-47C8-B75C-3B87EEB14ECB}"/>
                </c:ext>
              </c:extLst>
            </c:dLbl>
            <c:dLbl>
              <c:idx val="8"/>
              <c:layout>
                <c:manualLayout>
                  <c:x val="-0.26035498915109895"/>
                  <c:y val="0.1291810607341703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361-47C8-B75C-3B87EEB14ECB}"/>
                </c:ext>
              </c:extLst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3-8361-47C8-B75C-3B87EEB14ECB}"/>
                </c:ext>
              </c:extLst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5-8361-47C8-B75C-3B87EEB14ECB}"/>
                </c:ext>
              </c:extLst>
            </c:dLbl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7-8361-47C8-B75C-3B87EEB14ECB}"/>
                </c:ext>
              </c:extLst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9-8361-47C8-B75C-3B87EEB14ECB}"/>
                </c:ext>
              </c:extLst>
            </c:dLbl>
            <c:dLbl>
              <c:idx val="1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B-8361-47C8-B75C-3B87EEB14ECB}"/>
                </c:ext>
              </c:extLst>
            </c:dLbl>
            <c:dLbl>
              <c:idx val="14"/>
              <c:layout>
                <c:manualLayout>
                  <c:x val="6.5635317073499233E-2"/>
                  <c:y val="-7.96863616229331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3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8361-47C8-B75C-3B87EEB14E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'org.kl.'!$B$41:$B$55</c:f>
              <c:strCache>
                <c:ptCount val="15"/>
                <c:pt idx="0">
                  <c:v>Upravni odjel za poslove Gradonačelnika i stručne poslove</c:v>
                </c:pt>
                <c:pt idx="1">
                  <c:v>Upravni odjel za financije, javnu nabavu i naplatu prihoda</c:v>
                </c:pt>
                <c:pt idx="2">
                  <c:v>Odsjek za izgradnju i održavanje</c:v>
                </c:pt>
                <c:pt idx="3">
                  <c:v>Odsjek za imovinsko pravne poslove i gospodarenje gradskom imovinom</c:v>
                </c:pt>
                <c:pt idx="4">
                  <c:v>Odsjek za komunalno redarstvo</c:v>
                </c:pt>
                <c:pt idx="5">
                  <c:v>Odsjek za gospodarstvo i komunalne djelatnosti</c:v>
                </c:pt>
                <c:pt idx="6">
                  <c:v>Odsjek  EU fondove</c:v>
                </c:pt>
                <c:pt idx="7">
                  <c:v>RAZVOJNA AGENCIJA GRADA KAŠTELA</c:v>
                </c:pt>
                <c:pt idx="8">
                  <c:v>Upravni odjel za prostorno uređenje i zaštitu okoliša</c:v>
                </c:pt>
                <c:pt idx="9">
                  <c:v>Upravni odjel za društvene djelatnosti i zajedničke poslove</c:v>
                </c:pt>
                <c:pt idx="10">
                  <c:v>Gradska Knjižnica</c:v>
                </c:pt>
                <c:pt idx="11">
                  <c:v>Muzej Grada Kaštela</c:v>
                </c:pt>
                <c:pt idx="12">
                  <c:v>Dječji vrtić Kaštela</c:v>
                </c:pt>
                <c:pt idx="13">
                  <c:v>Javna ustanova sportski objekti</c:v>
                </c:pt>
                <c:pt idx="14">
                  <c:v>KOMUNALNI POGON</c:v>
                </c:pt>
              </c:strCache>
            </c:strRef>
          </c:cat>
          <c:val>
            <c:numRef>
              <c:f>'org.kl.'!$C$41:$C$55</c:f>
              <c:numCache>
                <c:formatCode>#,##0</c:formatCode>
                <c:ptCount val="15"/>
                <c:pt idx="0">
                  <c:v>3356200</c:v>
                </c:pt>
                <c:pt idx="1">
                  <c:v>28208000</c:v>
                </c:pt>
                <c:pt idx="2">
                  <c:v>37530000</c:v>
                </c:pt>
                <c:pt idx="3">
                  <c:v>5390000</c:v>
                </c:pt>
                <c:pt idx="4">
                  <c:v>708000</c:v>
                </c:pt>
                <c:pt idx="5">
                  <c:v>9195000</c:v>
                </c:pt>
                <c:pt idx="6">
                  <c:v>7860000</c:v>
                </c:pt>
                <c:pt idx="7">
                  <c:v>1021000</c:v>
                </c:pt>
                <c:pt idx="8">
                  <c:v>1262500</c:v>
                </c:pt>
                <c:pt idx="9">
                  <c:v>45338000</c:v>
                </c:pt>
                <c:pt idx="10">
                  <c:v>3186700</c:v>
                </c:pt>
                <c:pt idx="11">
                  <c:v>3283500</c:v>
                </c:pt>
                <c:pt idx="12">
                  <c:v>20285000</c:v>
                </c:pt>
                <c:pt idx="13">
                  <c:v>2054000</c:v>
                </c:pt>
                <c:pt idx="14">
                  <c:v>22068750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8361-47C8-B75C-3B87EEB14EC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t="100000" r="100000"/>
      </a:path>
      <a:tileRect l="-100000" b="-100000"/>
    </a:gradFill>
    <a:ln w="38100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za zaposlene-31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9926062339934498E-2"/>
          <c:y val="0.1761096375560009"/>
          <c:w val="0.82858669248368844"/>
          <c:h val="0.733649779029931"/>
        </c:manualLayout>
      </c:layout>
      <c:pie3DChart>
        <c:varyColors val="1"/>
        <c:ser>
          <c:idx val="0"/>
          <c:order val="0"/>
          <c:tx>
            <c:strRef>
              <c:f>'31'!$C$16</c:f>
              <c:strCache>
                <c:ptCount val="1"/>
                <c:pt idx="0">
                  <c:v>4. Kolona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D14-45D7-AA56-CE5BF9FE93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D14-45D7-AA56-CE5BF9FE93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BD14-45D7-AA56-CE5BF9FE932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BD14-45D7-AA56-CE5BF9FE932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BD14-45D7-AA56-CE5BF9FE932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BD14-45D7-AA56-CE5BF9FE932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BD14-45D7-AA56-CE5BF9FE932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BD14-45D7-AA56-CE5BF9FE932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BD14-45D7-AA56-CE5BF9FE932D}"/>
                </c:ext>
              </c:extLst>
            </c:dLbl>
            <c:dLbl>
              <c:idx val="1"/>
              <c:layout>
                <c:manualLayout>
                  <c:x val="2.1680216802168022E-2"/>
                  <c:y val="-0.150537634408602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14-45D7-AA56-CE5BF9FE932D}"/>
                </c:ext>
              </c:extLst>
            </c:dLbl>
            <c:dLbl>
              <c:idx val="2"/>
              <c:layout>
                <c:manualLayout>
                  <c:x val="5.6368563685636856E-2"/>
                  <c:y val="-5.37634408602151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14-45D7-AA56-CE5BF9FE932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BD14-45D7-AA56-CE5BF9FE932D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BD14-45D7-AA56-CE5BF9FE932D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BD14-45D7-AA56-CE5BF9FE932D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BD14-45D7-AA56-CE5BF9FE932D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BD14-45D7-AA56-CE5BF9FE93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'31'!$B$17:$B$24</c:f>
              <c:strCache>
                <c:ptCount val="8"/>
                <c:pt idx="0">
                  <c:v>Upravni odjel za financije, javnu nabavu i naplatu prihoda</c:v>
                </c:pt>
                <c:pt idx="1">
                  <c:v>Odsjek  EU fondove</c:v>
                </c:pt>
                <c:pt idx="2">
                  <c:v>RAZVOJNA AGENCIJA GRADA KAŠTELA</c:v>
                </c:pt>
                <c:pt idx="3">
                  <c:v>GRADSKA KNJIŽNICA KAŠTELA</c:v>
                </c:pt>
                <c:pt idx="4">
                  <c:v>MUZEJ GRADA KAŠTELA</c:v>
                </c:pt>
                <c:pt idx="5">
                  <c:v>DJEČJI VRTIĆ KAŠTELA</c:v>
                </c:pt>
                <c:pt idx="6">
                  <c:v>JAVNA USTANOVA ŠPORTSKI OBJEKTI KAŠTELA</c:v>
                </c:pt>
                <c:pt idx="7">
                  <c:v>KOMUNALNI POGON</c:v>
                </c:pt>
              </c:strCache>
            </c:strRef>
          </c:cat>
          <c:val>
            <c:numRef>
              <c:f>'31'!$C$17:$C$24</c:f>
              <c:numCache>
                <c:formatCode>#,###,###,##0.00#####</c:formatCode>
                <c:ptCount val="8"/>
                <c:pt idx="0">
                  <c:v>17080000</c:v>
                </c:pt>
                <c:pt idx="1">
                  <c:v>1514000</c:v>
                </c:pt>
                <c:pt idx="2">
                  <c:v>639000</c:v>
                </c:pt>
                <c:pt idx="3">
                  <c:v>2234900</c:v>
                </c:pt>
                <c:pt idx="4">
                  <c:v>2518500</c:v>
                </c:pt>
                <c:pt idx="5">
                  <c:v>14366000</c:v>
                </c:pt>
                <c:pt idx="6">
                  <c:v>1296000</c:v>
                </c:pt>
                <c:pt idx="7">
                  <c:v>7430000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D14-45D7-AA56-CE5BF9FE932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t="100000" r="100000"/>
      </a:path>
      <a:tileRect l="-100000" b="-100000"/>
    </a:gradFill>
    <a:ln w="38100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C7FE4-EF6B-4CC0-BD7A-D6CB60AB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13456</Words>
  <Characters>76703</Characters>
  <Application>Microsoft Office Word</Application>
  <DocSecurity>0</DocSecurity>
  <Lines>639</Lines>
  <Paragraphs>179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Izvještaj o radu upravnog odjela za financije, proračun i javnu nabavu</vt:lpstr>
      <vt:lpstr>Izvještaj o radu upravnog odjela za financije, proračun i javnu nabavu</vt:lpstr>
    </vt:vector>
  </TitlesOfParts>
  <Company>Hewlett-Packard Company</Company>
  <LinksUpToDate>false</LinksUpToDate>
  <CharactersWithSpaces>89980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radu upravnog odjela za financije, proračun i javnu nabavu</dc:title>
  <dc:creator>mdikic</dc:creator>
  <cp:lastModifiedBy>Ina Dukan</cp:lastModifiedBy>
  <cp:revision>2</cp:revision>
  <cp:lastPrinted>2021-12-07T13:34:00Z</cp:lastPrinted>
  <dcterms:created xsi:type="dcterms:W3CDTF">2022-10-26T07:40:00Z</dcterms:created>
  <dcterms:modified xsi:type="dcterms:W3CDTF">2022-10-26T07:40:00Z</dcterms:modified>
</cp:coreProperties>
</file>