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3466C3">
        <w:rPr>
          <w:rFonts w:asciiTheme="minorHAnsi" w:hAnsiTheme="minorHAnsi"/>
          <w:b/>
          <w:bCs/>
        </w:rPr>
        <w:t>R E P U B L I K A  H R V A T S K A</w:t>
      </w:r>
    </w:p>
    <w:p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3466C3">
        <w:rPr>
          <w:rFonts w:asciiTheme="minorHAnsi" w:hAnsiTheme="minorHAnsi"/>
          <w:b/>
          <w:bCs/>
        </w:rPr>
        <w:t>SPLITSKO-DALMATINSKA ŽUPANIJA</w:t>
      </w:r>
      <w:r w:rsidRPr="003466C3">
        <w:rPr>
          <w:rFonts w:asciiTheme="minorHAnsi" w:hAnsiTheme="minorHAnsi"/>
        </w:rPr>
        <w:t xml:space="preserve"> </w:t>
      </w:r>
    </w:p>
    <w:p w:rsidR="00AC4DB4" w:rsidRPr="003466C3" w:rsidRDefault="00DF286E" w:rsidP="00DF286E">
      <w:pPr>
        <w:pStyle w:val="Heading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3466C3">
        <w:rPr>
          <w:rFonts w:asciiTheme="minorHAnsi" w:hAnsiTheme="minorHAnsi"/>
          <w:b w:val="0"/>
          <w:lang w:val="hr-HR"/>
        </w:rPr>
        <w:t>GRAD KAŠTELA</w:t>
      </w:r>
    </w:p>
    <w:p w:rsidR="00677662" w:rsidRPr="003466C3" w:rsidRDefault="00DF286E" w:rsidP="00DF286E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                 </w:t>
      </w:r>
      <w:r w:rsidR="00677662" w:rsidRPr="003466C3">
        <w:rPr>
          <w:rFonts w:asciiTheme="minorHAnsi" w:hAnsiTheme="minorHAnsi"/>
        </w:rPr>
        <w:t>K. Sućurac,</w:t>
      </w:r>
      <w:r w:rsidR="009F78C8" w:rsidRPr="003466C3">
        <w:rPr>
          <w:rFonts w:asciiTheme="minorHAnsi" w:hAnsiTheme="minorHAnsi"/>
        </w:rPr>
        <w:t xml:space="preserve"> </w:t>
      </w:r>
      <w:r w:rsidR="00677662" w:rsidRPr="003466C3">
        <w:rPr>
          <w:rFonts w:asciiTheme="minorHAnsi" w:hAnsiTheme="minorHAnsi"/>
        </w:rPr>
        <w:t>Braće Radić 1</w:t>
      </w:r>
    </w:p>
    <w:p w:rsidR="00677662" w:rsidRPr="003466C3" w:rsidRDefault="00677662">
      <w:pPr>
        <w:rPr>
          <w:rFonts w:asciiTheme="minorHAnsi" w:hAnsiTheme="minorHAnsi"/>
        </w:rPr>
      </w:pPr>
    </w:p>
    <w:p w:rsidR="00677662" w:rsidRPr="003466C3" w:rsidRDefault="00907A51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Kaštel Sućurac, 14</w:t>
      </w:r>
      <w:r w:rsidR="00A232C0">
        <w:rPr>
          <w:rFonts w:asciiTheme="minorHAnsi" w:hAnsiTheme="minorHAnsi"/>
        </w:rPr>
        <w:t>.02.2018</w:t>
      </w:r>
      <w:r w:rsidR="00DE5C33" w:rsidRPr="003466C3">
        <w:rPr>
          <w:rFonts w:asciiTheme="minorHAnsi" w:hAnsiTheme="minorHAnsi"/>
        </w:rPr>
        <w:t>.</w:t>
      </w:r>
    </w:p>
    <w:p w:rsidR="00DE5C33" w:rsidRPr="003466C3" w:rsidRDefault="00DE5C33">
      <w:pPr>
        <w:rPr>
          <w:rFonts w:asciiTheme="minorHAnsi" w:hAnsiTheme="minorHAnsi"/>
        </w:rPr>
      </w:pPr>
    </w:p>
    <w:p w:rsidR="00677662" w:rsidRPr="003466C3" w:rsidRDefault="00FE567A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Razina: 22</w:t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  <w:t>RKP: 30363</w:t>
      </w:r>
    </w:p>
    <w:p w:rsidR="00FE567A" w:rsidRPr="003466C3" w:rsidRDefault="00FE567A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Šifra djelatnosti: 8411</w:t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  <w:t>OIB: 08727843572</w:t>
      </w:r>
    </w:p>
    <w:p w:rsidR="00941496" w:rsidRDefault="00FE567A" w:rsidP="003466C3">
      <w:pPr>
        <w:ind w:left="5664" w:firstLine="708"/>
        <w:rPr>
          <w:rFonts w:asciiTheme="minorHAnsi" w:hAnsiTheme="minorHAnsi"/>
        </w:rPr>
      </w:pPr>
      <w:r w:rsidRPr="003466C3">
        <w:rPr>
          <w:rFonts w:asciiTheme="minorHAnsi" w:hAnsiTheme="minorHAnsi"/>
        </w:rPr>
        <w:t>Matični broj: 02580993</w:t>
      </w:r>
    </w:p>
    <w:p w:rsidR="00677662" w:rsidRPr="003466C3" w:rsidRDefault="00FE567A" w:rsidP="003466C3">
      <w:pPr>
        <w:ind w:left="5664" w:firstLine="708"/>
        <w:rPr>
          <w:rFonts w:asciiTheme="minorHAnsi" w:hAnsiTheme="minorHAnsi"/>
        </w:rPr>
      </w:pP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</w:p>
    <w:p w:rsidR="009B0A8C" w:rsidRPr="003466C3" w:rsidRDefault="00677662" w:rsidP="009B0A8C">
      <w:pPr>
        <w:jc w:val="center"/>
        <w:rPr>
          <w:rFonts w:asciiTheme="minorHAnsi" w:hAnsiTheme="minorHAnsi"/>
          <w:b/>
        </w:rPr>
      </w:pPr>
      <w:r w:rsidRPr="003466C3">
        <w:rPr>
          <w:rFonts w:asciiTheme="minorHAnsi" w:hAnsiTheme="minorHAnsi"/>
          <w:b/>
        </w:rPr>
        <w:t xml:space="preserve">BILJEŠKE UZ FINANCIJSKE IZVJEŠTAJE </w:t>
      </w:r>
      <w:r w:rsidR="0022127E" w:rsidRPr="003466C3">
        <w:rPr>
          <w:rFonts w:asciiTheme="minorHAnsi" w:hAnsiTheme="minorHAnsi"/>
          <w:b/>
        </w:rPr>
        <w:t>PRORAČUNA</w:t>
      </w:r>
      <w:r w:rsidR="009B0A8C" w:rsidRPr="003466C3">
        <w:rPr>
          <w:rFonts w:asciiTheme="minorHAnsi" w:hAnsiTheme="minorHAnsi"/>
          <w:b/>
        </w:rPr>
        <w:t xml:space="preserve"> </w:t>
      </w:r>
      <w:r w:rsidR="0022127E" w:rsidRPr="003466C3">
        <w:rPr>
          <w:rFonts w:asciiTheme="minorHAnsi" w:hAnsiTheme="minorHAnsi"/>
          <w:b/>
        </w:rPr>
        <w:t>GRADA KAŠTELA</w:t>
      </w:r>
    </w:p>
    <w:p w:rsidR="00677662" w:rsidRPr="003466C3" w:rsidRDefault="007A21F5" w:rsidP="009B0A8C">
      <w:pPr>
        <w:jc w:val="center"/>
        <w:rPr>
          <w:rFonts w:asciiTheme="minorHAnsi" w:hAnsiTheme="minorHAnsi"/>
          <w:b/>
        </w:rPr>
      </w:pPr>
      <w:r w:rsidRPr="003466C3">
        <w:rPr>
          <w:rFonts w:asciiTheme="minorHAnsi" w:hAnsiTheme="minorHAnsi"/>
          <w:b/>
        </w:rPr>
        <w:t xml:space="preserve"> ZA </w:t>
      </w:r>
      <w:r w:rsidR="00B64595" w:rsidRPr="003466C3">
        <w:rPr>
          <w:rFonts w:asciiTheme="minorHAnsi" w:hAnsiTheme="minorHAnsi"/>
          <w:b/>
        </w:rPr>
        <w:t>RAZDO</w:t>
      </w:r>
      <w:r w:rsidR="007A7708" w:rsidRPr="003466C3">
        <w:rPr>
          <w:rFonts w:asciiTheme="minorHAnsi" w:hAnsiTheme="minorHAnsi"/>
          <w:b/>
        </w:rPr>
        <w:t>BLJE OD 01.SIJEČNJA DO 31. PROSINCA</w:t>
      </w:r>
      <w:r w:rsidR="00006FC4">
        <w:rPr>
          <w:rFonts w:asciiTheme="minorHAnsi" w:hAnsiTheme="minorHAnsi"/>
          <w:b/>
        </w:rPr>
        <w:t xml:space="preserve"> 2017</w:t>
      </w:r>
      <w:r w:rsidR="005D68BB" w:rsidRPr="003466C3">
        <w:rPr>
          <w:rFonts w:asciiTheme="minorHAnsi" w:hAnsiTheme="minorHAnsi"/>
          <w:b/>
        </w:rPr>
        <w:t>. GODINE</w:t>
      </w:r>
    </w:p>
    <w:p w:rsidR="0022127E" w:rsidRPr="003466C3" w:rsidRDefault="0022127E" w:rsidP="000D14E1">
      <w:pPr>
        <w:jc w:val="center"/>
        <w:rPr>
          <w:rFonts w:asciiTheme="minorHAnsi" w:hAnsiTheme="minorHAnsi"/>
        </w:rPr>
      </w:pPr>
    </w:p>
    <w:p w:rsidR="00677662" w:rsidRPr="003466C3" w:rsidRDefault="00677662" w:rsidP="000D14E1">
      <w:pPr>
        <w:jc w:val="both"/>
        <w:rPr>
          <w:rFonts w:asciiTheme="minorHAnsi" w:hAnsiTheme="minorHAnsi"/>
        </w:rPr>
      </w:pPr>
    </w:p>
    <w:p w:rsidR="0022127E" w:rsidRPr="00125E27" w:rsidRDefault="0022127E" w:rsidP="007D2930">
      <w:pPr>
        <w:jc w:val="both"/>
        <w:rPr>
          <w:rFonts w:asciiTheme="minorHAnsi" w:hAnsiTheme="minorHAnsi"/>
          <w:color w:val="FF0000"/>
        </w:rPr>
      </w:pPr>
      <w:r w:rsidRPr="003466C3">
        <w:rPr>
          <w:rFonts w:asciiTheme="minorHAnsi" w:hAnsiTheme="minorHAnsi"/>
        </w:rPr>
        <w:t>Grad Kaštela –</w:t>
      </w:r>
      <w:r w:rsidR="00FA7564" w:rsidRPr="003466C3">
        <w:rPr>
          <w:rFonts w:asciiTheme="minorHAnsi" w:hAnsiTheme="minorHAnsi"/>
        </w:rPr>
        <w:t xml:space="preserve"> </w:t>
      </w:r>
      <w:r w:rsidRPr="003466C3">
        <w:rPr>
          <w:rFonts w:asciiTheme="minorHAnsi" w:hAnsiTheme="minorHAnsi"/>
        </w:rPr>
        <w:t xml:space="preserve">Gradska </w:t>
      </w:r>
      <w:r w:rsidR="002E27D2" w:rsidRPr="003466C3">
        <w:rPr>
          <w:rFonts w:asciiTheme="minorHAnsi" w:hAnsiTheme="minorHAnsi"/>
        </w:rPr>
        <w:t>uprava K</w:t>
      </w:r>
      <w:r w:rsidRPr="003466C3">
        <w:rPr>
          <w:rFonts w:asciiTheme="minorHAnsi" w:hAnsiTheme="minorHAnsi"/>
        </w:rPr>
        <w:t>aštela RKP:</w:t>
      </w:r>
      <w:r w:rsidR="00FA7564" w:rsidRPr="003466C3">
        <w:rPr>
          <w:rFonts w:asciiTheme="minorHAnsi" w:hAnsiTheme="minorHAnsi"/>
        </w:rPr>
        <w:t xml:space="preserve"> </w:t>
      </w:r>
      <w:r w:rsidRPr="003466C3">
        <w:rPr>
          <w:rFonts w:asciiTheme="minorHAnsi" w:hAnsiTheme="minorHAnsi"/>
        </w:rPr>
        <w:t>30363,</w:t>
      </w:r>
      <w:r w:rsidR="00FA7564" w:rsidRPr="003466C3">
        <w:rPr>
          <w:rFonts w:asciiTheme="minorHAnsi" w:hAnsiTheme="minorHAnsi"/>
        </w:rPr>
        <w:t xml:space="preserve"> </w:t>
      </w:r>
      <w:r w:rsidRPr="003466C3">
        <w:rPr>
          <w:rFonts w:asciiTheme="minorHAnsi" w:hAnsiTheme="minorHAnsi"/>
        </w:rPr>
        <w:t>Djelatnost 8411</w:t>
      </w:r>
      <w:r w:rsidR="00FA7564" w:rsidRPr="003466C3">
        <w:rPr>
          <w:rFonts w:asciiTheme="minorHAnsi" w:hAnsiTheme="minorHAnsi"/>
        </w:rPr>
        <w:t>-</w:t>
      </w:r>
      <w:r w:rsidRPr="003466C3">
        <w:rPr>
          <w:rFonts w:asciiTheme="minorHAnsi" w:hAnsiTheme="minorHAnsi"/>
        </w:rPr>
        <w:t xml:space="preserve"> Opće djelatnosti</w:t>
      </w:r>
      <w:r w:rsidR="002E27D2" w:rsidRPr="003466C3">
        <w:rPr>
          <w:rFonts w:asciiTheme="minorHAnsi" w:hAnsiTheme="minorHAnsi"/>
        </w:rPr>
        <w:t xml:space="preserve">  javne uprave, obvezni su sastavljati financijske izvještaje sukladno odredbama Pravilnika o </w:t>
      </w:r>
      <w:r w:rsidR="00D06B3E" w:rsidRPr="003466C3">
        <w:rPr>
          <w:rFonts w:asciiTheme="minorHAnsi" w:hAnsiTheme="minorHAnsi"/>
        </w:rPr>
        <w:t xml:space="preserve">financijskom </w:t>
      </w:r>
      <w:r w:rsidR="002E27D2" w:rsidRPr="003466C3">
        <w:rPr>
          <w:rFonts w:asciiTheme="minorHAnsi" w:hAnsiTheme="minorHAnsi"/>
        </w:rPr>
        <w:t xml:space="preserve">izvještavanju u proračunskom </w:t>
      </w:r>
      <w:r w:rsidR="002E27D2" w:rsidRPr="00125E27">
        <w:rPr>
          <w:rFonts w:asciiTheme="minorHAnsi" w:hAnsiTheme="minorHAnsi"/>
        </w:rPr>
        <w:t>računovodstvu ( Narodne novine ,</w:t>
      </w:r>
      <w:r w:rsidR="00FA7564" w:rsidRPr="00125E27">
        <w:rPr>
          <w:rFonts w:asciiTheme="minorHAnsi" w:hAnsiTheme="minorHAnsi"/>
        </w:rPr>
        <w:t xml:space="preserve"> </w:t>
      </w:r>
      <w:r w:rsidR="002E27D2" w:rsidRPr="00125E27">
        <w:rPr>
          <w:rFonts w:asciiTheme="minorHAnsi" w:hAnsiTheme="minorHAnsi"/>
        </w:rPr>
        <w:t>broj:</w:t>
      </w:r>
      <w:r w:rsidR="00125E27" w:rsidRPr="00125E27">
        <w:rPr>
          <w:rFonts w:asciiTheme="minorHAnsi" w:hAnsiTheme="minorHAnsi"/>
          <w:color w:val="231F20"/>
        </w:rPr>
        <w:t xml:space="preserve"> </w:t>
      </w:r>
      <w:r w:rsidR="00125E27">
        <w:rPr>
          <w:rFonts w:asciiTheme="minorHAnsi" w:hAnsiTheme="minorHAnsi"/>
          <w:color w:val="231F20"/>
        </w:rPr>
        <w:t>3/15, 93/15, 135/15 ,</w:t>
      </w:r>
      <w:r w:rsidR="00125E27" w:rsidRPr="00125E27">
        <w:rPr>
          <w:rFonts w:asciiTheme="minorHAnsi" w:hAnsiTheme="minorHAnsi"/>
          <w:color w:val="231F20"/>
        </w:rPr>
        <w:t xml:space="preserve"> 2/17 i</w:t>
      </w:r>
      <w:r w:rsidR="00125E27">
        <w:rPr>
          <w:rFonts w:asciiTheme="minorHAnsi" w:hAnsiTheme="minorHAnsi"/>
          <w:color w:val="231F20"/>
        </w:rPr>
        <w:t xml:space="preserve"> </w:t>
      </w:r>
      <w:r w:rsidR="00125E27" w:rsidRPr="00125E27">
        <w:rPr>
          <w:rFonts w:asciiTheme="minorHAnsi" w:hAnsiTheme="minorHAnsi"/>
          <w:color w:val="231F20"/>
        </w:rPr>
        <w:t>28/17</w:t>
      </w:r>
      <w:r w:rsidR="00125E27">
        <w:rPr>
          <w:rFonts w:asciiTheme="minorHAnsi" w:hAnsiTheme="minorHAnsi"/>
          <w:color w:val="231F20"/>
        </w:rPr>
        <w:t>).</w:t>
      </w:r>
    </w:p>
    <w:p w:rsidR="00677662" w:rsidRPr="003466C3" w:rsidRDefault="0022127E" w:rsidP="007D2930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Odre</w:t>
      </w:r>
      <w:r w:rsidR="005E54AD">
        <w:rPr>
          <w:rFonts w:asciiTheme="minorHAnsi" w:hAnsiTheme="minorHAnsi"/>
        </w:rPr>
        <w:t>d</w:t>
      </w:r>
      <w:r w:rsidRPr="003466C3">
        <w:rPr>
          <w:rFonts w:asciiTheme="minorHAnsi" w:hAnsiTheme="minorHAnsi"/>
        </w:rPr>
        <w:t>bama Zakona o područjima županija,</w:t>
      </w:r>
      <w:r w:rsidR="00FA7564" w:rsidRPr="003466C3">
        <w:rPr>
          <w:rFonts w:asciiTheme="minorHAnsi" w:hAnsiTheme="minorHAnsi"/>
        </w:rPr>
        <w:t xml:space="preserve"> </w:t>
      </w:r>
      <w:r w:rsidRPr="003466C3">
        <w:rPr>
          <w:rFonts w:asciiTheme="minorHAnsi" w:hAnsiTheme="minorHAnsi"/>
        </w:rPr>
        <w:t>gradova i općina u Republici Hrvatskoj Grad je utvrđen kao jedinica lokalne samouprave u sastavu Splitsko-Dalmatinske  Županije</w:t>
      </w:r>
      <w:r w:rsidR="007D2930" w:rsidRPr="003466C3">
        <w:rPr>
          <w:rFonts w:asciiTheme="minorHAnsi" w:hAnsiTheme="minorHAnsi"/>
        </w:rPr>
        <w:t>, o</w:t>
      </w:r>
      <w:r w:rsidRPr="003466C3">
        <w:rPr>
          <w:rFonts w:asciiTheme="minorHAnsi" w:hAnsiTheme="minorHAnsi"/>
        </w:rPr>
        <w:t>buhvaća 7 naselja i ima 38.474 stanovnika</w:t>
      </w:r>
      <w:r w:rsidR="00FA7564" w:rsidRPr="003466C3">
        <w:rPr>
          <w:rFonts w:asciiTheme="minorHAnsi" w:hAnsiTheme="minorHAnsi"/>
        </w:rPr>
        <w:t xml:space="preserve"> </w:t>
      </w:r>
      <w:r w:rsidRPr="003466C3">
        <w:rPr>
          <w:rFonts w:asciiTheme="minorHAnsi" w:hAnsiTheme="minorHAnsi"/>
        </w:rPr>
        <w:t>(2011.</w:t>
      </w:r>
      <w:r w:rsidR="00167EFB">
        <w:rPr>
          <w:rFonts w:asciiTheme="minorHAnsi" w:hAnsiTheme="minorHAnsi"/>
        </w:rPr>
        <w:t>godine</w:t>
      </w:r>
      <w:r w:rsidRPr="003466C3">
        <w:rPr>
          <w:rFonts w:asciiTheme="minorHAnsi" w:hAnsiTheme="minorHAnsi"/>
        </w:rPr>
        <w:t>)</w:t>
      </w:r>
    </w:p>
    <w:p w:rsidR="0022127E" w:rsidRPr="003466C3" w:rsidRDefault="00B948F9" w:rsidP="007D2930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U</w:t>
      </w:r>
      <w:r w:rsidR="0022127E" w:rsidRPr="003466C3">
        <w:rPr>
          <w:rFonts w:asciiTheme="minorHAnsi" w:hAnsiTheme="minorHAnsi"/>
        </w:rPr>
        <w:t xml:space="preserve"> izvještajnom razdoblju </w:t>
      </w:r>
      <w:r w:rsidR="008F3358">
        <w:rPr>
          <w:rFonts w:asciiTheme="minorHAnsi" w:hAnsiTheme="minorHAnsi"/>
        </w:rPr>
        <w:t xml:space="preserve">od 01.01. </w:t>
      </w:r>
      <w:r w:rsidR="00A232C0">
        <w:rPr>
          <w:rFonts w:asciiTheme="minorHAnsi" w:hAnsiTheme="minorHAnsi"/>
        </w:rPr>
        <w:t xml:space="preserve">do 25.05.2017. </w:t>
      </w:r>
      <w:r w:rsidR="003E4B00" w:rsidRPr="003466C3">
        <w:rPr>
          <w:rFonts w:asciiTheme="minorHAnsi" w:hAnsiTheme="minorHAnsi"/>
        </w:rPr>
        <w:t xml:space="preserve">Grad je </w:t>
      </w:r>
      <w:r w:rsidR="007A21F5" w:rsidRPr="003466C3">
        <w:rPr>
          <w:rFonts w:asciiTheme="minorHAnsi" w:hAnsiTheme="minorHAnsi"/>
        </w:rPr>
        <w:t xml:space="preserve"> vodi</w:t>
      </w:r>
      <w:r w:rsidR="003E4B00" w:rsidRPr="003466C3">
        <w:rPr>
          <w:rFonts w:asciiTheme="minorHAnsi" w:hAnsiTheme="minorHAnsi"/>
        </w:rPr>
        <w:t>o</w:t>
      </w:r>
      <w:r w:rsidR="007A21F5" w:rsidRPr="003466C3">
        <w:rPr>
          <w:rFonts w:asciiTheme="minorHAnsi" w:hAnsiTheme="minorHAnsi"/>
        </w:rPr>
        <w:t xml:space="preserve"> gradonačelnik </w:t>
      </w:r>
      <w:r w:rsidR="002E27D2" w:rsidRPr="003466C3">
        <w:rPr>
          <w:rFonts w:asciiTheme="minorHAnsi" w:hAnsiTheme="minorHAnsi"/>
        </w:rPr>
        <w:t>Ivan Udovičić</w:t>
      </w:r>
      <w:r w:rsidR="00A232C0">
        <w:rPr>
          <w:rFonts w:asciiTheme="minorHAnsi" w:hAnsiTheme="minorHAnsi"/>
        </w:rPr>
        <w:t xml:space="preserve"> a od 26.05.2017. </w:t>
      </w:r>
      <w:r w:rsidR="00167EFB">
        <w:rPr>
          <w:rFonts w:asciiTheme="minorHAnsi" w:hAnsiTheme="minorHAnsi"/>
        </w:rPr>
        <w:t xml:space="preserve">do 31.12.2017. </w:t>
      </w:r>
      <w:r w:rsidR="00A232C0">
        <w:rPr>
          <w:rFonts w:asciiTheme="minorHAnsi" w:hAnsiTheme="minorHAnsi"/>
        </w:rPr>
        <w:t>gradonačelnik Denis Ivanović.</w:t>
      </w:r>
    </w:p>
    <w:p w:rsidR="006F6BE1" w:rsidRPr="003466C3" w:rsidRDefault="006F6BE1">
      <w:pPr>
        <w:rPr>
          <w:rFonts w:asciiTheme="minorHAnsi" w:hAnsiTheme="minorHAnsi"/>
          <w:b/>
          <w:u w:val="single"/>
        </w:rPr>
      </w:pPr>
    </w:p>
    <w:p w:rsidR="006F6BE1" w:rsidRPr="003466C3" w:rsidRDefault="006F6BE1">
      <w:pPr>
        <w:rPr>
          <w:rFonts w:asciiTheme="minorHAnsi" w:hAnsiTheme="minorHAnsi"/>
          <w:b/>
          <w:u w:val="single"/>
        </w:rPr>
      </w:pPr>
    </w:p>
    <w:p w:rsidR="00677662" w:rsidRPr="003466C3" w:rsidRDefault="009D7B1B">
      <w:pPr>
        <w:rPr>
          <w:rFonts w:asciiTheme="minorHAnsi" w:hAnsiTheme="minorHAnsi"/>
          <w:b/>
          <w:u w:val="single"/>
        </w:rPr>
      </w:pPr>
      <w:r w:rsidRPr="003466C3">
        <w:rPr>
          <w:rFonts w:asciiTheme="minorHAnsi" w:hAnsiTheme="minorHAnsi"/>
          <w:b/>
          <w:u w:val="single"/>
        </w:rPr>
        <w:t>I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="00086524" w:rsidRPr="003466C3">
        <w:rPr>
          <w:rFonts w:asciiTheme="minorHAnsi" w:hAnsiTheme="minorHAnsi"/>
          <w:b/>
          <w:u w:val="single"/>
        </w:rPr>
        <w:t xml:space="preserve"> BILJEŠKE UZ OBRAZAC PR-RAS</w:t>
      </w:r>
    </w:p>
    <w:p w:rsidR="00086524" w:rsidRPr="003466C3" w:rsidRDefault="00086524">
      <w:pPr>
        <w:rPr>
          <w:rFonts w:asciiTheme="minorHAnsi" w:hAnsiTheme="minorHAnsi"/>
        </w:rPr>
      </w:pPr>
    </w:p>
    <w:p w:rsidR="00086524" w:rsidRPr="003466C3" w:rsidRDefault="00F526CE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Bilješka br.1</w:t>
      </w:r>
      <w:r w:rsidR="00086524" w:rsidRPr="003466C3">
        <w:rPr>
          <w:rFonts w:asciiTheme="minorHAnsi" w:hAnsiTheme="minorHAnsi"/>
        </w:rPr>
        <w:t xml:space="preserve"> PRIHODI POSLOVANJA  AOP 001</w:t>
      </w:r>
    </w:p>
    <w:p w:rsidR="00CB08AB" w:rsidRPr="003466C3" w:rsidRDefault="00CB08AB">
      <w:pPr>
        <w:rPr>
          <w:rFonts w:asciiTheme="minorHAnsi" w:hAnsiTheme="minorHAnsi"/>
        </w:rPr>
      </w:pPr>
    </w:p>
    <w:p w:rsidR="00CF7E09" w:rsidRPr="003466C3" w:rsidRDefault="00A46FDC" w:rsidP="00CF7E09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Ostvareni </w:t>
      </w:r>
      <w:r w:rsidR="00A67D8B" w:rsidRPr="003466C3">
        <w:rPr>
          <w:rFonts w:asciiTheme="minorHAnsi" w:hAnsiTheme="minorHAnsi"/>
        </w:rPr>
        <w:t xml:space="preserve">su u iznosu </w:t>
      </w:r>
      <w:r w:rsidR="00CF7E09">
        <w:rPr>
          <w:rFonts w:asciiTheme="minorHAnsi" w:hAnsiTheme="minorHAnsi"/>
        </w:rPr>
        <w:t>104</w:t>
      </w:r>
      <w:r w:rsidRPr="003466C3">
        <w:rPr>
          <w:rFonts w:asciiTheme="minorHAnsi" w:hAnsiTheme="minorHAnsi"/>
        </w:rPr>
        <w:t>.</w:t>
      </w:r>
      <w:r w:rsidR="00CF7E09">
        <w:rPr>
          <w:rFonts w:asciiTheme="minorHAnsi" w:hAnsiTheme="minorHAnsi"/>
        </w:rPr>
        <w:t>649</w:t>
      </w:r>
      <w:r w:rsidR="00A67D8B" w:rsidRPr="003466C3">
        <w:rPr>
          <w:rFonts w:asciiTheme="minorHAnsi" w:hAnsiTheme="minorHAnsi"/>
        </w:rPr>
        <w:t>.</w:t>
      </w:r>
      <w:r w:rsidR="00CF7E09">
        <w:rPr>
          <w:rFonts w:asciiTheme="minorHAnsi" w:hAnsiTheme="minorHAnsi"/>
        </w:rPr>
        <w:t>505</w:t>
      </w:r>
      <w:r w:rsidR="00367B0B" w:rsidRPr="003466C3">
        <w:rPr>
          <w:rFonts w:asciiTheme="minorHAnsi" w:hAnsiTheme="minorHAnsi"/>
        </w:rPr>
        <w:t xml:space="preserve"> kuna </w:t>
      </w:r>
      <w:r w:rsidR="00CF7E09">
        <w:rPr>
          <w:rFonts w:asciiTheme="minorHAnsi" w:hAnsiTheme="minorHAnsi"/>
        </w:rPr>
        <w:t>što je za 13</w:t>
      </w:r>
      <w:r w:rsidR="007D3480" w:rsidRPr="003466C3">
        <w:rPr>
          <w:rFonts w:asciiTheme="minorHAnsi" w:hAnsiTheme="minorHAnsi"/>
        </w:rPr>
        <w:t>,</w:t>
      </w:r>
      <w:r w:rsidR="00CF7E09">
        <w:rPr>
          <w:rFonts w:asciiTheme="minorHAnsi" w:hAnsiTheme="minorHAnsi"/>
        </w:rPr>
        <w:t>3 % manje</w:t>
      </w:r>
      <w:r w:rsidR="007D3480" w:rsidRPr="003466C3">
        <w:rPr>
          <w:rFonts w:asciiTheme="minorHAnsi" w:hAnsiTheme="minorHAnsi"/>
        </w:rPr>
        <w:t xml:space="preserve"> nego u istom razdoblju prethodne godine. </w:t>
      </w:r>
      <w:r w:rsidR="00CF7E09">
        <w:rPr>
          <w:rFonts w:asciiTheme="minorHAnsi" w:hAnsiTheme="minorHAnsi"/>
        </w:rPr>
        <w:t xml:space="preserve">Razlog ovakve razlike je </w:t>
      </w:r>
      <w:r w:rsidR="00CF7E09" w:rsidRPr="003466C3">
        <w:rPr>
          <w:rFonts w:asciiTheme="minorHAnsi" w:hAnsiTheme="minorHAnsi"/>
        </w:rPr>
        <w:t>zbog velike uplate doprinosa od strane Zračne luke Split u iznosu od 12.381.055,47 kn u veljači 2016.godine.</w:t>
      </w:r>
    </w:p>
    <w:p w:rsidR="00CB08AB" w:rsidRPr="003466C3" w:rsidRDefault="00CB08AB" w:rsidP="002734C1">
      <w:pPr>
        <w:jc w:val="both"/>
        <w:rPr>
          <w:rFonts w:asciiTheme="minorHAnsi" w:hAnsiTheme="minorHAnsi"/>
        </w:rPr>
      </w:pPr>
    </w:p>
    <w:p w:rsidR="00CB08AB" w:rsidRDefault="005E54AD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Porez i pri</w:t>
      </w:r>
      <w:r w:rsidR="00CB08AB" w:rsidRPr="003466C3">
        <w:rPr>
          <w:rFonts w:asciiTheme="minorHAnsi" w:hAnsiTheme="minorHAnsi"/>
        </w:rPr>
        <w:t xml:space="preserve">rez </w:t>
      </w:r>
      <w:r w:rsidR="00CF7E09">
        <w:rPr>
          <w:rFonts w:asciiTheme="minorHAnsi" w:hAnsiTheme="minorHAnsi"/>
        </w:rPr>
        <w:t>na dohodak  AOP 003 ostvaren je u iznosu od 45.422</w:t>
      </w:r>
      <w:r w:rsidR="00CB08AB" w:rsidRPr="003466C3">
        <w:rPr>
          <w:rFonts w:asciiTheme="minorHAnsi" w:hAnsiTheme="minorHAnsi"/>
        </w:rPr>
        <w:t>.</w:t>
      </w:r>
      <w:r w:rsidR="00CF7E09">
        <w:rPr>
          <w:rFonts w:asciiTheme="minorHAnsi" w:hAnsiTheme="minorHAnsi"/>
        </w:rPr>
        <w:t>279 kn što je 1,</w:t>
      </w:r>
      <w:r w:rsidR="00CB08AB" w:rsidRPr="003466C3">
        <w:rPr>
          <w:rFonts w:asciiTheme="minorHAnsi" w:hAnsiTheme="minorHAnsi"/>
        </w:rPr>
        <w:t xml:space="preserve">1 % </w:t>
      </w:r>
      <w:r w:rsidR="00CF7E09">
        <w:rPr>
          <w:rFonts w:asciiTheme="minorHAnsi" w:hAnsiTheme="minorHAnsi"/>
        </w:rPr>
        <w:t xml:space="preserve">manje nego prošle godine </w:t>
      </w:r>
      <w:r w:rsidR="00CB08AB" w:rsidRPr="003466C3">
        <w:rPr>
          <w:rFonts w:asciiTheme="minorHAnsi" w:hAnsiTheme="minorHAnsi"/>
        </w:rPr>
        <w:t>.</w:t>
      </w:r>
    </w:p>
    <w:p w:rsidR="00AD4C6A" w:rsidRDefault="00AD4C6A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Kako prijašnjih godina nismo povrat poreza na dohodak po godišnjoj prijavi evidentirali kao dugovni promet osnovnog računa 61171 –Povrat poreza i prireza po godišnjoj prijavi, to smo ove godine </w:t>
      </w:r>
      <w:r w:rsidR="00B37A39">
        <w:rPr>
          <w:rFonts w:asciiTheme="minorHAnsi" w:hAnsiTheme="minorHAnsi"/>
        </w:rPr>
        <w:t xml:space="preserve">taj podataka </w:t>
      </w:r>
      <w:r>
        <w:rPr>
          <w:rFonts w:asciiTheme="minorHAnsi" w:hAnsiTheme="minorHAnsi"/>
        </w:rPr>
        <w:t>radi usporedbe unijeli i u 2016.godini.</w:t>
      </w:r>
    </w:p>
    <w:p w:rsidR="00AD4C6A" w:rsidRPr="003466C3" w:rsidRDefault="00AD4C6A" w:rsidP="002734C1">
      <w:pPr>
        <w:jc w:val="both"/>
        <w:rPr>
          <w:rFonts w:asciiTheme="minorHAnsi" w:hAnsiTheme="minorHAnsi"/>
        </w:rPr>
      </w:pPr>
    </w:p>
    <w:p w:rsidR="00CB08AB" w:rsidRDefault="00570A54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Povremeni porezi na imovinu AO</w:t>
      </w:r>
      <w:r w:rsidR="00CF7E09">
        <w:rPr>
          <w:rFonts w:asciiTheme="minorHAnsi" w:hAnsiTheme="minorHAnsi"/>
        </w:rPr>
        <w:t>P 022 ostvareni su u iznosu od 9</w:t>
      </w:r>
      <w:r w:rsidRPr="003466C3">
        <w:rPr>
          <w:rFonts w:asciiTheme="minorHAnsi" w:hAnsiTheme="minorHAnsi"/>
        </w:rPr>
        <w:t>.</w:t>
      </w:r>
      <w:r w:rsidR="00CF7E09">
        <w:rPr>
          <w:rFonts w:asciiTheme="minorHAnsi" w:hAnsiTheme="minorHAnsi"/>
        </w:rPr>
        <w:t>551</w:t>
      </w:r>
      <w:r w:rsidRPr="003466C3">
        <w:rPr>
          <w:rFonts w:asciiTheme="minorHAnsi" w:hAnsiTheme="minorHAnsi"/>
        </w:rPr>
        <w:t>.</w:t>
      </w:r>
      <w:r w:rsidR="00006FC4">
        <w:rPr>
          <w:rFonts w:asciiTheme="minorHAnsi" w:hAnsiTheme="minorHAnsi"/>
        </w:rPr>
        <w:t>627</w:t>
      </w:r>
      <w:r w:rsidR="00CF7E09">
        <w:rPr>
          <w:rFonts w:asciiTheme="minorHAnsi" w:hAnsiTheme="minorHAnsi"/>
        </w:rPr>
        <w:t xml:space="preserve"> što 24</w:t>
      </w:r>
      <w:r w:rsidRPr="003466C3">
        <w:rPr>
          <w:rFonts w:asciiTheme="minorHAnsi" w:hAnsiTheme="minorHAnsi"/>
        </w:rPr>
        <w:t>,</w:t>
      </w:r>
      <w:r w:rsidR="00CF7E09">
        <w:rPr>
          <w:rFonts w:asciiTheme="minorHAnsi" w:hAnsiTheme="minorHAnsi"/>
        </w:rPr>
        <w:t>1% više</w:t>
      </w:r>
      <w:r w:rsidRPr="003466C3">
        <w:rPr>
          <w:rFonts w:asciiTheme="minorHAnsi" w:hAnsiTheme="minorHAnsi"/>
        </w:rPr>
        <w:t xml:space="preserve"> nego prošle godine iz razloga </w:t>
      </w:r>
      <w:r w:rsidR="00CF7E09">
        <w:rPr>
          <w:rFonts w:asciiTheme="minorHAnsi" w:hAnsiTheme="minorHAnsi"/>
        </w:rPr>
        <w:t>povećanog prometa nekretnina tijekom 2017.godine</w:t>
      </w:r>
      <w:r w:rsidRPr="003466C3">
        <w:rPr>
          <w:rFonts w:asciiTheme="minorHAnsi" w:hAnsiTheme="minorHAnsi"/>
        </w:rPr>
        <w:t>.</w:t>
      </w:r>
    </w:p>
    <w:p w:rsidR="00CF7E09" w:rsidRDefault="00CF7E09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Porez na promet AOP 026 ostvaren je u iznosu od </w:t>
      </w:r>
      <w:r w:rsidR="00392B9B">
        <w:rPr>
          <w:rFonts w:asciiTheme="minorHAnsi" w:hAnsiTheme="minorHAnsi"/>
        </w:rPr>
        <w:t xml:space="preserve">1.200.900 kn i za </w:t>
      </w:r>
      <w:r w:rsidR="006B1D86">
        <w:rPr>
          <w:rFonts w:asciiTheme="minorHAnsi" w:hAnsiTheme="minorHAnsi"/>
        </w:rPr>
        <w:t>15% je veći nego 2016.godine zbo</w:t>
      </w:r>
      <w:r w:rsidR="00392B9B">
        <w:rPr>
          <w:rFonts w:asciiTheme="minorHAnsi" w:hAnsiTheme="minorHAnsi"/>
        </w:rPr>
        <w:t>g povećane potrošnje alkoholnih i bezalkoholnih pića.</w:t>
      </w:r>
    </w:p>
    <w:p w:rsidR="00392B9B" w:rsidRPr="003466C3" w:rsidRDefault="00392B9B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Porez na korištenje dobara ili izvođenje aktivnosti AOP 028 je ostvaren u iznosu od 298.225 kn ili za 70,7 % manje nego 2016.godine zbog ukidanja poreza na tvrtku odnosno naziv tvrtke.</w:t>
      </w:r>
    </w:p>
    <w:p w:rsidR="00CB08AB" w:rsidRPr="003466C3" w:rsidRDefault="00CB08AB" w:rsidP="002734C1">
      <w:pPr>
        <w:jc w:val="both"/>
        <w:rPr>
          <w:rFonts w:asciiTheme="minorHAnsi" w:hAnsiTheme="minorHAnsi"/>
        </w:rPr>
      </w:pPr>
    </w:p>
    <w:p w:rsidR="001C3191" w:rsidRPr="003466C3" w:rsidRDefault="00932B52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Pomoći iz inozemstva i od subjekat</w:t>
      </w:r>
      <w:r w:rsidR="00B70D8B">
        <w:rPr>
          <w:rFonts w:asciiTheme="minorHAnsi" w:hAnsiTheme="minorHAnsi"/>
        </w:rPr>
        <w:t>a unutar općeg proračuna AOP 045</w:t>
      </w:r>
      <w:r w:rsidRPr="003466C3">
        <w:rPr>
          <w:rFonts w:asciiTheme="minorHAnsi" w:hAnsiTheme="minorHAnsi"/>
        </w:rPr>
        <w:t xml:space="preserve"> su ostvareni u iznosu od </w:t>
      </w:r>
      <w:r w:rsidR="00B70D8B">
        <w:rPr>
          <w:rFonts w:asciiTheme="minorHAnsi" w:hAnsiTheme="minorHAnsi"/>
        </w:rPr>
        <w:t>6</w:t>
      </w:r>
      <w:r w:rsidRPr="003466C3">
        <w:rPr>
          <w:rFonts w:asciiTheme="minorHAnsi" w:hAnsiTheme="minorHAnsi"/>
        </w:rPr>
        <w:t>.</w:t>
      </w:r>
      <w:r w:rsidR="00B70D8B">
        <w:rPr>
          <w:rFonts w:asciiTheme="minorHAnsi" w:hAnsiTheme="minorHAnsi"/>
        </w:rPr>
        <w:t>081</w:t>
      </w:r>
      <w:r w:rsidRPr="003466C3">
        <w:rPr>
          <w:rFonts w:asciiTheme="minorHAnsi" w:hAnsiTheme="minorHAnsi"/>
        </w:rPr>
        <w:t>.</w:t>
      </w:r>
      <w:r w:rsidR="00B70D8B">
        <w:rPr>
          <w:rFonts w:asciiTheme="minorHAnsi" w:hAnsiTheme="minorHAnsi"/>
        </w:rPr>
        <w:t>957</w:t>
      </w:r>
      <w:r w:rsidR="001C3191" w:rsidRPr="003466C3">
        <w:rPr>
          <w:rFonts w:asciiTheme="minorHAnsi" w:hAnsiTheme="minorHAnsi"/>
        </w:rPr>
        <w:t xml:space="preserve"> kn što je za </w:t>
      </w:r>
      <w:r w:rsidR="00B70D8B">
        <w:rPr>
          <w:rFonts w:asciiTheme="minorHAnsi" w:hAnsiTheme="minorHAnsi"/>
        </w:rPr>
        <w:t>18</w:t>
      </w:r>
      <w:r w:rsidRPr="003466C3">
        <w:rPr>
          <w:rFonts w:asciiTheme="minorHAnsi" w:hAnsiTheme="minorHAnsi"/>
        </w:rPr>
        <w:t>,</w:t>
      </w:r>
      <w:r w:rsidR="00B70D8B">
        <w:rPr>
          <w:rFonts w:asciiTheme="minorHAnsi" w:hAnsiTheme="minorHAnsi"/>
        </w:rPr>
        <w:t>9</w:t>
      </w:r>
      <w:r w:rsidR="001C3191" w:rsidRPr="003466C3">
        <w:rPr>
          <w:rFonts w:asciiTheme="minorHAnsi" w:hAnsiTheme="minorHAnsi"/>
        </w:rPr>
        <w:t xml:space="preserve">2 % </w:t>
      </w:r>
      <w:r w:rsidR="00B70D8B">
        <w:rPr>
          <w:rFonts w:asciiTheme="minorHAnsi" w:hAnsiTheme="minorHAnsi"/>
        </w:rPr>
        <w:t>više</w:t>
      </w:r>
      <w:r w:rsidRPr="003466C3">
        <w:rPr>
          <w:rFonts w:asciiTheme="minorHAnsi" w:hAnsiTheme="minorHAnsi"/>
        </w:rPr>
        <w:t xml:space="preserve"> nego u istom razdoblju prethodne godine</w:t>
      </w:r>
      <w:r w:rsidR="00B417C6" w:rsidRPr="003466C3">
        <w:rPr>
          <w:rFonts w:asciiTheme="minorHAnsi" w:hAnsiTheme="minorHAnsi"/>
        </w:rPr>
        <w:t xml:space="preserve"> a iz razloga većeg sufinanciranja </w:t>
      </w:r>
      <w:r w:rsidR="00AE1815">
        <w:rPr>
          <w:rFonts w:asciiTheme="minorHAnsi" w:hAnsiTheme="minorHAnsi"/>
        </w:rPr>
        <w:t>rekonstrukcije Ulice sv.Lovre u Kaštel Lukšiću od strane Hrvatskih voda te zbog više dobivenih sredstava od Hrvatskog zavoda za zapošljavanje za plaćanje mjere</w:t>
      </w:r>
      <w:r w:rsidR="00B417C6" w:rsidRPr="003466C3">
        <w:rPr>
          <w:rFonts w:asciiTheme="minorHAnsi" w:hAnsiTheme="minorHAnsi"/>
        </w:rPr>
        <w:t>.</w:t>
      </w:r>
      <w:r w:rsidR="00D51EDD">
        <w:rPr>
          <w:rFonts w:asciiTheme="minorHAnsi" w:hAnsiTheme="minorHAnsi"/>
        </w:rPr>
        <w:t xml:space="preserve"> Tijekom 2017.godine ostvareno je i 582.550 kn kapitalnih pomoći temeljem prijenosa EU sredstava u projektu Perpetuum baštine.</w:t>
      </w:r>
    </w:p>
    <w:p w:rsidR="00B003A7" w:rsidRPr="003466C3" w:rsidRDefault="00B003A7" w:rsidP="002734C1">
      <w:pPr>
        <w:jc w:val="both"/>
        <w:rPr>
          <w:rFonts w:asciiTheme="minorHAnsi" w:hAnsiTheme="minorHAnsi"/>
        </w:rPr>
      </w:pPr>
    </w:p>
    <w:p w:rsidR="003A4ABA" w:rsidRPr="003466C3" w:rsidRDefault="000D111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Prihodi od imovine AOP 074</w:t>
      </w:r>
      <w:r w:rsidR="003A4ABA" w:rsidRPr="003466C3">
        <w:rPr>
          <w:rFonts w:asciiTheme="minorHAnsi" w:hAnsiTheme="minorHAnsi"/>
        </w:rPr>
        <w:t xml:space="preserve"> ostvareni su u iznosu od </w:t>
      </w:r>
      <w:r>
        <w:rPr>
          <w:rFonts w:asciiTheme="minorHAnsi" w:hAnsiTheme="minorHAnsi"/>
        </w:rPr>
        <w:t>5.302</w:t>
      </w:r>
      <w:r w:rsidR="003A4ABA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193 kn što je 15</w:t>
      </w:r>
      <w:r w:rsidR="003A4ABA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7</w:t>
      </w:r>
      <w:r w:rsidR="003A4ABA" w:rsidRPr="003466C3">
        <w:rPr>
          <w:rFonts w:asciiTheme="minorHAnsi" w:hAnsiTheme="minorHAnsi"/>
        </w:rPr>
        <w:t xml:space="preserve">% manje nego prošle godine </w:t>
      </w:r>
      <w:r w:rsidR="00753EC8" w:rsidRPr="003466C3">
        <w:rPr>
          <w:rFonts w:asciiTheme="minorHAnsi" w:hAnsiTheme="minorHAnsi"/>
        </w:rPr>
        <w:t xml:space="preserve">iz razloga </w:t>
      </w:r>
      <w:r>
        <w:rPr>
          <w:rFonts w:asciiTheme="minorHAnsi" w:hAnsiTheme="minorHAnsi"/>
        </w:rPr>
        <w:t>50,8% manje</w:t>
      </w:r>
      <w:r w:rsidR="00753EC8" w:rsidRPr="003466C3">
        <w:rPr>
          <w:rFonts w:asciiTheme="minorHAnsi" w:hAnsiTheme="minorHAnsi"/>
        </w:rPr>
        <w:t xml:space="preserve"> uplaćen</w:t>
      </w:r>
      <w:r w:rsidR="000F6699">
        <w:rPr>
          <w:rFonts w:asciiTheme="minorHAnsi" w:hAnsiTheme="minorHAnsi"/>
        </w:rPr>
        <w:t>e nak</w:t>
      </w:r>
      <w:r>
        <w:rPr>
          <w:rFonts w:asciiTheme="minorHAnsi" w:hAnsiTheme="minorHAnsi"/>
        </w:rPr>
        <w:t>n</w:t>
      </w:r>
      <w:r w:rsidR="000F6699">
        <w:rPr>
          <w:rFonts w:asciiTheme="minorHAnsi" w:hAnsiTheme="minorHAnsi"/>
        </w:rPr>
        <w:t>a</w:t>
      </w:r>
      <w:r>
        <w:rPr>
          <w:rFonts w:asciiTheme="minorHAnsi" w:hAnsiTheme="minorHAnsi"/>
        </w:rPr>
        <w:t>de za legalizaciju u 2017</w:t>
      </w:r>
      <w:r w:rsidR="00B8267B">
        <w:rPr>
          <w:rFonts w:asciiTheme="minorHAnsi" w:hAnsiTheme="minorHAnsi"/>
        </w:rPr>
        <w:t>.godini nego prošle</w:t>
      </w:r>
      <w:r w:rsidR="00753EC8" w:rsidRPr="003466C3">
        <w:rPr>
          <w:rFonts w:asciiTheme="minorHAnsi" w:hAnsiTheme="minorHAnsi"/>
        </w:rPr>
        <w:t xml:space="preserve"> godine.</w:t>
      </w:r>
    </w:p>
    <w:p w:rsidR="001C3191" w:rsidRPr="003466C3" w:rsidRDefault="001C3191" w:rsidP="002734C1">
      <w:pPr>
        <w:jc w:val="both"/>
        <w:rPr>
          <w:rFonts w:asciiTheme="minorHAnsi" w:hAnsiTheme="minorHAnsi"/>
        </w:rPr>
      </w:pPr>
    </w:p>
    <w:p w:rsidR="00753EC8" w:rsidRPr="003466C3" w:rsidRDefault="000F6699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Prihodi od upravnih i administ</w:t>
      </w:r>
      <w:r w:rsidR="002F6BBA" w:rsidRPr="003466C3">
        <w:rPr>
          <w:rFonts w:asciiTheme="minorHAnsi" w:hAnsiTheme="minorHAnsi"/>
        </w:rPr>
        <w:t>r</w:t>
      </w:r>
      <w:r>
        <w:rPr>
          <w:rFonts w:asciiTheme="minorHAnsi" w:hAnsiTheme="minorHAnsi"/>
        </w:rPr>
        <w:t>a</w:t>
      </w:r>
      <w:r w:rsidR="002F6BBA" w:rsidRPr="003466C3">
        <w:rPr>
          <w:rFonts w:asciiTheme="minorHAnsi" w:hAnsiTheme="minorHAnsi"/>
        </w:rPr>
        <w:t>tivnih pristojbi, pristojbi po pose</w:t>
      </w:r>
      <w:r w:rsidR="00276C5F">
        <w:rPr>
          <w:rFonts w:asciiTheme="minorHAnsi" w:hAnsiTheme="minorHAnsi"/>
        </w:rPr>
        <w:t>bnim propisima i naknada AOP 105</w:t>
      </w:r>
      <w:r w:rsidR="002F6BBA" w:rsidRPr="003466C3">
        <w:rPr>
          <w:rFonts w:asciiTheme="minorHAnsi" w:hAnsiTheme="minorHAnsi"/>
        </w:rPr>
        <w:t xml:space="preserve"> ostvareni su u iznosu</w:t>
      </w:r>
      <w:r w:rsidR="00276C5F">
        <w:rPr>
          <w:rFonts w:asciiTheme="minorHAnsi" w:hAnsiTheme="minorHAnsi"/>
        </w:rPr>
        <w:t xml:space="preserve"> 35</w:t>
      </w:r>
      <w:r w:rsidR="00074850" w:rsidRPr="003466C3">
        <w:rPr>
          <w:rFonts w:asciiTheme="minorHAnsi" w:hAnsiTheme="minorHAnsi"/>
        </w:rPr>
        <w:t>.</w:t>
      </w:r>
      <w:r w:rsidR="00276C5F">
        <w:rPr>
          <w:rFonts w:asciiTheme="minorHAnsi" w:hAnsiTheme="minorHAnsi"/>
        </w:rPr>
        <w:t>792</w:t>
      </w:r>
      <w:r w:rsidR="00074850" w:rsidRPr="003466C3">
        <w:rPr>
          <w:rFonts w:asciiTheme="minorHAnsi" w:hAnsiTheme="minorHAnsi"/>
        </w:rPr>
        <w:t>.</w:t>
      </w:r>
      <w:r w:rsidR="00276C5F">
        <w:rPr>
          <w:rFonts w:asciiTheme="minorHAnsi" w:hAnsiTheme="minorHAnsi"/>
        </w:rPr>
        <w:t>333</w:t>
      </w:r>
      <w:r w:rsidR="00074850" w:rsidRPr="003466C3">
        <w:rPr>
          <w:rFonts w:asciiTheme="minorHAnsi" w:hAnsiTheme="minorHAnsi"/>
        </w:rPr>
        <w:t xml:space="preserve"> kn št</w:t>
      </w:r>
      <w:r w:rsidR="00276C5F">
        <w:rPr>
          <w:rFonts w:asciiTheme="minorHAnsi" w:hAnsiTheme="minorHAnsi"/>
        </w:rPr>
        <w:t>o je za 29</w:t>
      </w:r>
      <w:r w:rsidR="00074850" w:rsidRPr="003466C3">
        <w:rPr>
          <w:rFonts w:asciiTheme="minorHAnsi" w:hAnsiTheme="minorHAnsi"/>
        </w:rPr>
        <w:t>,</w:t>
      </w:r>
      <w:r w:rsidR="00276C5F">
        <w:rPr>
          <w:rFonts w:asciiTheme="minorHAnsi" w:hAnsiTheme="minorHAnsi"/>
        </w:rPr>
        <w:t>3</w:t>
      </w:r>
      <w:r w:rsidR="00074850" w:rsidRPr="003466C3">
        <w:rPr>
          <w:rFonts w:asciiTheme="minorHAnsi" w:hAnsiTheme="minorHAnsi"/>
        </w:rPr>
        <w:t xml:space="preserve">% </w:t>
      </w:r>
      <w:r w:rsidR="00276C5F">
        <w:rPr>
          <w:rFonts w:asciiTheme="minorHAnsi" w:hAnsiTheme="minorHAnsi"/>
        </w:rPr>
        <w:t>manje nego tijekom 2016</w:t>
      </w:r>
      <w:r w:rsidR="00567C5E">
        <w:rPr>
          <w:rFonts w:asciiTheme="minorHAnsi" w:hAnsiTheme="minorHAnsi"/>
        </w:rPr>
        <w:t>.godine. Osno</w:t>
      </w:r>
      <w:r w:rsidR="006506BC">
        <w:rPr>
          <w:rFonts w:asciiTheme="minorHAnsi" w:hAnsiTheme="minorHAnsi"/>
        </w:rPr>
        <w:t xml:space="preserve">vni razlog smanjenju prihoda </w:t>
      </w:r>
      <w:r w:rsidR="00074850" w:rsidRPr="003466C3">
        <w:rPr>
          <w:rFonts w:asciiTheme="minorHAnsi" w:hAnsiTheme="minorHAnsi"/>
        </w:rPr>
        <w:t>je u komunalno</w:t>
      </w:r>
      <w:r w:rsidR="00276C5F">
        <w:rPr>
          <w:rFonts w:asciiTheme="minorHAnsi" w:hAnsiTheme="minorHAnsi"/>
        </w:rPr>
        <w:t>m doprinosu koji je ostvaren 66</w:t>
      </w:r>
      <w:r w:rsidR="00074850" w:rsidRPr="003466C3">
        <w:rPr>
          <w:rFonts w:asciiTheme="minorHAnsi" w:hAnsiTheme="minorHAnsi"/>
        </w:rPr>
        <w:t>,</w:t>
      </w:r>
      <w:r w:rsidR="00276C5F">
        <w:rPr>
          <w:rFonts w:asciiTheme="minorHAnsi" w:hAnsiTheme="minorHAnsi"/>
        </w:rPr>
        <w:t>4% manje</w:t>
      </w:r>
      <w:r w:rsidR="00074850" w:rsidRPr="003466C3">
        <w:rPr>
          <w:rFonts w:asciiTheme="minorHAnsi" w:hAnsiTheme="minorHAnsi"/>
        </w:rPr>
        <w:t xml:space="preserve"> nego prošle godine zbog velike uplate doprinosa od strane Zračne luke Split u iznosu od 12.381.055,47 kn</w:t>
      </w:r>
      <w:r w:rsidR="005258F7" w:rsidRPr="003466C3">
        <w:rPr>
          <w:rFonts w:asciiTheme="minorHAnsi" w:hAnsiTheme="minorHAnsi"/>
        </w:rPr>
        <w:t xml:space="preserve"> u veljači 2016.godine</w:t>
      </w:r>
      <w:r w:rsidR="00074850" w:rsidRPr="003466C3">
        <w:rPr>
          <w:rFonts w:asciiTheme="minorHAnsi" w:hAnsiTheme="minorHAnsi"/>
        </w:rPr>
        <w:t>.</w:t>
      </w:r>
    </w:p>
    <w:p w:rsidR="00441B89" w:rsidRPr="003466C3" w:rsidRDefault="00441B89" w:rsidP="002734C1">
      <w:pPr>
        <w:jc w:val="both"/>
        <w:rPr>
          <w:rFonts w:asciiTheme="minorHAnsi" w:hAnsiTheme="minorHAnsi"/>
        </w:rPr>
      </w:pPr>
    </w:p>
    <w:p w:rsidR="00441B89" w:rsidRPr="003466C3" w:rsidRDefault="00441B89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Prihodi od prodaje proizvoda i robe te pruženih usluga i prihodi od donacija </w:t>
      </w:r>
      <w:r w:rsidR="006506BC">
        <w:rPr>
          <w:rFonts w:asciiTheme="minorHAnsi" w:hAnsiTheme="minorHAnsi"/>
        </w:rPr>
        <w:t>AOP 123</w:t>
      </w:r>
      <w:r w:rsidR="005258F7" w:rsidRPr="003466C3">
        <w:rPr>
          <w:rFonts w:asciiTheme="minorHAnsi" w:hAnsiTheme="minorHAnsi"/>
        </w:rPr>
        <w:t xml:space="preserve"> </w:t>
      </w:r>
      <w:r w:rsidR="006506BC">
        <w:rPr>
          <w:rFonts w:asciiTheme="minorHAnsi" w:hAnsiTheme="minorHAnsi"/>
        </w:rPr>
        <w:t>ostvareni su u iznosu od 453</w:t>
      </w:r>
      <w:r w:rsidRPr="003466C3">
        <w:rPr>
          <w:rFonts w:asciiTheme="minorHAnsi" w:hAnsiTheme="minorHAnsi"/>
        </w:rPr>
        <w:t>.</w:t>
      </w:r>
      <w:r w:rsidR="006506BC">
        <w:rPr>
          <w:rFonts w:asciiTheme="minorHAnsi" w:hAnsiTheme="minorHAnsi"/>
        </w:rPr>
        <w:t>001 kn što je za 82,4</w:t>
      </w:r>
      <w:r w:rsidRPr="003466C3">
        <w:rPr>
          <w:rFonts w:asciiTheme="minorHAnsi" w:hAnsiTheme="minorHAnsi"/>
        </w:rPr>
        <w:t>%</w:t>
      </w:r>
      <w:r w:rsidR="006506BC">
        <w:rPr>
          <w:rFonts w:asciiTheme="minorHAnsi" w:hAnsiTheme="minorHAnsi"/>
        </w:rPr>
        <w:t xml:space="preserve"> manje</w:t>
      </w:r>
      <w:r w:rsidRPr="003466C3">
        <w:rPr>
          <w:rFonts w:asciiTheme="minorHAnsi" w:hAnsiTheme="minorHAnsi"/>
        </w:rPr>
        <w:t xml:space="preserve"> nego prošle godine a iz razloga </w:t>
      </w:r>
      <w:r w:rsidR="00296589">
        <w:rPr>
          <w:rFonts w:asciiTheme="minorHAnsi" w:hAnsiTheme="minorHAnsi"/>
        </w:rPr>
        <w:t xml:space="preserve">dobivenih </w:t>
      </w:r>
      <w:r w:rsidRPr="003466C3">
        <w:rPr>
          <w:rFonts w:asciiTheme="minorHAnsi" w:hAnsiTheme="minorHAnsi"/>
        </w:rPr>
        <w:t xml:space="preserve">kapitalnih donacija </w:t>
      </w:r>
      <w:r w:rsidR="00296589">
        <w:rPr>
          <w:rFonts w:asciiTheme="minorHAnsi" w:hAnsiTheme="minorHAnsi"/>
        </w:rPr>
        <w:t>tijekom 2016.godine u iznosu od 2.075.000 kn</w:t>
      </w:r>
      <w:r w:rsidR="009852C7">
        <w:rPr>
          <w:rFonts w:asciiTheme="minorHAnsi" w:hAnsiTheme="minorHAnsi"/>
        </w:rPr>
        <w:t xml:space="preserve"> AOP 127</w:t>
      </w:r>
      <w:r w:rsidR="00296589">
        <w:rPr>
          <w:rFonts w:asciiTheme="minorHAnsi" w:hAnsiTheme="minorHAnsi"/>
        </w:rPr>
        <w:t xml:space="preserve"> (Vodovod i kanalizacija d.o.o. te darovane čestice zemlje)</w:t>
      </w:r>
    </w:p>
    <w:p w:rsidR="00171A7E" w:rsidRDefault="00171A7E" w:rsidP="002734C1">
      <w:pPr>
        <w:jc w:val="both"/>
        <w:rPr>
          <w:rFonts w:asciiTheme="minorHAnsi" w:hAnsiTheme="minorHAnsi"/>
        </w:rPr>
      </w:pPr>
    </w:p>
    <w:p w:rsidR="00296589" w:rsidRDefault="00296589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Prihodi od kazne, upravne mj</w:t>
      </w:r>
      <w:r w:rsidR="00E31965">
        <w:rPr>
          <w:rFonts w:asciiTheme="minorHAnsi" w:hAnsiTheme="minorHAnsi"/>
        </w:rPr>
        <w:t>ere i ostali prihodi AOP</w:t>
      </w:r>
      <w:r w:rsidR="00CF3707">
        <w:rPr>
          <w:rFonts w:asciiTheme="minorHAnsi" w:hAnsiTheme="minorHAnsi"/>
        </w:rPr>
        <w:t xml:space="preserve"> </w:t>
      </w:r>
      <w:r w:rsidR="00E31965">
        <w:rPr>
          <w:rFonts w:asciiTheme="minorHAnsi" w:hAnsiTheme="minorHAnsi"/>
        </w:rPr>
        <w:t>136 ost</w:t>
      </w:r>
      <w:r>
        <w:rPr>
          <w:rFonts w:asciiTheme="minorHAnsi" w:hAnsiTheme="minorHAnsi"/>
        </w:rPr>
        <w:t>v</w:t>
      </w:r>
      <w:r w:rsidR="00E31965">
        <w:rPr>
          <w:rFonts w:asciiTheme="minorHAnsi" w:hAnsiTheme="minorHAnsi"/>
        </w:rPr>
        <w:t>a</w:t>
      </w:r>
      <w:r>
        <w:rPr>
          <w:rFonts w:asciiTheme="minorHAnsi" w:hAnsiTheme="minorHAnsi"/>
        </w:rPr>
        <w:t>reni su u iznosu do 513.207 kn što je za 30,4% više nego 2016.godine i to zbog veće naplate kazni.</w:t>
      </w:r>
    </w:p>
    <w:p w:rsidR="00296589" w:rsidRDefault="00296589" w:rsidP="002734C1">
      <w:pPr>
        <w:jc w:val="both"/>
        <w:rPr>
          <w:rFonts w:asciiTheme="minorHAnsi" w:hAnsiTheme="minorHAnsi"/>
        </w:rPr>
      </w:pPr>
    </w:p>
    <w:p w:rsidR="00525A7F" w:rsidRPr="003466C3" w:rsidRDefault="00525A7F">
      <w:pPr>
        <w:rPr>
          <w:rFonts w:asciiTheme="minorHAnsi" w:hAnsiTheme="minorHAnsi"/>
        </w:rPr>
      </w:pPr>
    </w:p>
    <w:p w:rsidR="00303DD3" w:rsidRPr="003466C3" w:rsidRDefault="00F526CE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Bilješka br.2 </w:t>
      </w:r>
      <w:r w:rsidR="00303DD3" w:rsidRPr="003466C3">
        <w:rPr>
          <w:rFonts w:asciiTheme="minorHAnsi" w:hAnsiTheme="minorHAnsi"/>
        </w:rPr>
        <w:t>PRIHODI</w:t>
      </w:r>
      <w:r w:rsidR="00303FF4" w:rsidRPr="003466C3">
        <w:rPr>
          <w:rFonts w:asciiTheme="minorHAnsi" w:hAnsiTheme="minorHAnsi"/>
        </w:rPr>
        <w:t xml:space="preserve"> OD NEFINANCIJSKE IMOVINE AOP 28</w:t>
      </w:r>
      <w:r w:rsidR="007836C3">
        <w:rPr>
          <w:rFonts w:asciiTheme="minorHAnsi" w:hAnsiTheme="minorHAnsi"/>
        </w:rPr>
        <w:t>9</w:t>
      </w:r>
    </w:p>
    <w:p w:rsidR="001B1DC4" w:rsidRPr="003466C3" w:rsidRDefault="001B1DC4">
      <w:pPr>
        <w:rPr>
          <w:rFonts w:asciiTheme="minorHAnsi" w:hAnsiTheme="minorHAnsi"/>
        </w:rPr>
      </w:pPr>
    </w:p>
    <w:p w:rsidR="00303DD3" w:rsidRPr="003466C3" w:rsidRDefault="00303DD3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Ostvareni </w:t>
      </w:r>
      <w:r w:rsidR="007836C3">
        <w:rPr>
          <w:rFonts w:asciiTheme="minorHAnsi" w:hAnsiTheme="minorHAnsi"/>
        </w:rPr>
        <w:t>su u ukupnom iznosu od 307</w:t>
      </w:r>
      <w:r w:rsidR="0028139C" w:rsidRPr="003466C3">
        <w:rPr>
          <w:rFonts w:asciiTheme="minorHAnsi" w:hAnsiTheme="minorHAnsi"/>
        </w:rPr>
        <w:t>.</w:t>
      </w:r>
      <w:r w:rsidR="007836C3">
        <w:rPr>
          <w:rFonts w:asciiTheme="minorHAnsi" w:hAnsiTheme="minorHAnsi"/>
        </w:rPr>
        <w:t>937</w:t>
      </w:r>
      <w:r w:rsidR="0028139C" w:rsidRPr="003466C3">
        <w:rPr>
          <w:rFonts w:asciiTheme="minorHAnsi" w:hAnsiTheme="minorHAnsi"/>
        </w:rPr>
        <w:t xml:space="preserve"> kuna</w:t>
      </w:r>
      <w:r w:rsidR="007836C3">
        <w:rPr>
          <w:rFonts w:asciiTheme="minorHAnsi" w:hAnsiTheme="minorHAnsi"/>
        </w:rPr>
        <w:t xml:space="preserve"> što je 106</w:t>
      </w:r>
      <w:r w:rsidR="00ED4679" w:rsidRPr="003466C3">
        <w:rPr>
          <w:rFonts w:asciiTheme="minorHAnsi" w:hAnsiTheme="minorHAnsi"/>
        </w:rPr>
        <w:t>% više nego prošle godine</w:t>
      </w:r>
      <w:r w:rsidR="0028139C" w:rsidRPr="003466C3">
        <w:rPr>
          <w:rFonts w:asciiTheme="minorHAnsi" w:hAnsiTheme="minorHAnsi"/>
        </w:rPr>
        <w:t xml:space="preserve"> </w:t>
      </w:r>
      <w:r w:rsidR="00E103BE" w:rsidRPr="003466C3">
        <w:rPr>
          <w:rFonts w:asciiTheme="minorHAnsi" w:hAnsiTheme="minorHAnsi"/>
        </w:rPr>
        <w:t>a</w:t>
      </w:r>
      <w:r w:rsidR="000F71AC" w:rsidRPr="003466C3">
        <w:rPr>
          <w:rFonts w:asciiTheme="minorHAnsi" w:hAnsiTheme="minorHAnsi"/>
        </w:rPr>
        <w:t xml:space="preserve"> odnose se na otkup stanova</w:t>
      </w:r>
      <w:r w:rsidR="00F67C79" w:rsidRPr="003466C3">
        <w:rPr>
          <w:rFonts w:asciiTheme="minorHAnsi" w:hAnsiTheme="minorHAnsi"/>
        </w:rPr>
        <w:t xml:space="preserve"> koji su bili u državnom vlasništvu</w:t>
      </w:r>
      <w:r w:rsidR="007836C3">
        <w:rPr>
          <w:rFonts w:asciiTheme="minorHAnsi" w:hAnsiTheme="minorHAnsi"/>
        </w:rPr>
        <w:t xml:space="preserve"> u iznosu od 142.324 kn te od prihoda od prodaje postrojenje i opreme (klime za Ured državne uprave u zgradi Gradske uprave) u iznosu od 106.168 kn.</w:t>
      </w:r>
    </w:p>
    <w:p w:rsidR="00303DD3" w:rsidRPr="003466C3" w:rsidRDefault="00303DD3">
      <w:pPr>
        <w:rPr>
          <w:rFonts w:asciiTheme="minorHAnsi" w:hAnsiTheme="minorHAnsi"/>
        </w:rPr>
      </w:pPr>
    </w:p>
    <w:p w:rsidR="00822158" w:rsidRPr="003466C3" w:rsidRDefault="00822158">
      <w:pPr>
        <w:rPr>
          <w:rFonts w:asciiTheme="minorHAnsi" w:hAnsiTheme="minorHAnsi"/>
        </w:rPr>
      </w:pPr>
    </w:p>
    <w:p w:rsidR="00303DD3" w:rsidRPr="003466C3" w:rsidRDefault="00594E52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Bilješka b</w:t>
      </w:r>
      <w:r w:rsidR="00907A51" w:rsidRPr="003466C3">
        <w:rPr>
          <w:rFonts w:asciiTheme="minorHAnsi" w:hAnsiTheme="minorHAnsi"/>
        </w:rPr>
        <w:t>r. 3</w:t>
      </w:r>
      <w:r w:rsidR="002E149C">
        <w:rPr>
          <w:rFonts w:asciiTheme="minorHAnsi" w:hAnsiTheme="minorHAnsi"/>
        </w:rPr>
        <w:t xml:space="preserve"> RASHODI POSLOVANJA  AOP 148</w:t>
      </w:r>
    </w:p>
    <w:p w:rsidR="009C5A23" w:rsidRPr="003466C3" w:rsidRDefault="009C5A23">
      <w:pPr>
        <w:rPr>
          <w:rFonts w:asciiTheme="minorHAnsi" w:hAnsiTheme="minorHAnsi"/>
        </w:rPr>
      </w:pPr>
    </w:p>
    <w:p w:rsidR="00893A1D" w:rsidRPr="003466C3" w:rsidRDefault="00803466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Ostvareni s</w:t>
      </w:r>
      <w:r w:rsidR="00AE316C">
        <w:rPr>
          <w:rFonts w:asciiTheme="minorHAnsi" w:hAnsiTheme="minorHAnsi"/>
        </w:rPr>
        <w:t>u u ukupnom iznosu od 94</w:t>
      </w:r>
      <w:r w:rsidR="00F5741D" w:rsidRPr="003466C3">
        <w:rPr>
          <w:rFonts w:asciiTheme="minorHAnsi" w:hAnsiTheme="minorHAnsi"/>
        </w:rPr>
        <w:t>.</w:t>
      </w:r>
      <w:r w:rsidR="00AE316C">
        <w:rPr>
          <w:rFonts w:asciiTheme="minorHAnsi" w:hAnsiTheme="minorHAnsi"/>
        </w:rPr>
        <w:t>595</w:t>
      </w:r>
      <w:r w:rsidR="00F5741D" w:rsidRPr="003466C3">
        <w:rPr>
          <w:rFonts w:asciiTheme="minorHAnsi" w:hAnsiTheme="minorHAnsi"/>
        </w:rPr>
        <w:t>.</w:t>
      </w:r>
      <w:r w:rsidR="00AE316C">
        <w:rPr>
          <w:rFonts w:asciiTheme="minorHAnsi" w:hAnsiTheme="minorHAnsi"/>
        </w:rPr>
        <w:t>448 što je za 7</w:t>
      </w:r>
      <w:r w:rsidR="00893A1D" w:rsidRPr="003466C3">
        <w:rPr>
          <w:rFonts w:asciiTheme="minorHAnsi" w:hAnsiTheme="minorHAnsi"/>
        </w:rPr>
        <w:t>,</w:t>
      </w:r>
      <w:r w:rsidR="00AE316C">
        <w:rPr>
          <w:rFonts w:asciiTheme="minorHAnsi" w:hAnsiTheme="minorHAnsi"/>
        </w:rPr>
        <w:t>3%</w:t>
      </w:r>
      <w:r w:rsidR="001E5964" w:rsidRPr="003466C3">
        <w:rPr>
          <w:rFonts w:asciiTheme="minorHAnsi" w:hAnsiTheme="minorHAnsi"/>
        </w:rPr>
        <w:t xml:space="preserve"> </w:t>
      </w:r>
      <w:r w:rsidR="00AE316C">
        <w:rPr>
          <w:rFonts w:asciiTheme="minorHAnsi" w:hAnsiTheme="minorHAnsi"/>
        </w:rPr>
        <w:t>više</w:t>
      </w:r>
      <w:r w:rsidR="001E5964" w:rsidRPr="003466C3">
        <w:rPr>
          <w:rFonts w:asciiTheme="minorHAnsi" w:hAnsiTheme="minorHAnsi"/>
        </w:rPr>
        <w:t xml:space="preserve"> nego u istom razdoblju prošle godine.</w:t>
      </w:r>
      <w:r w:rsidR="001E1E99" w:rsidRPr="003466C3">
        <w:rPr>
          <w:rFonts w:asciiTheme="minorHAnsi" w:hAnsiTheme="minorHAnsi"/>
        </w:rPr>
        <w:t xml:space="preserve"> </w:t>
      </w:r>
    </w:p>
    <w:p w:rsidR="00893A1D" w:rsidRPr="003466C3" w:rsidRDefault="00AE316C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Rashodi za zaposlene AOP 149 ostvareni su u iznosu od 18</w:t>
      </w:r>
      <w:r w:rsidR="00893A1D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192</w:t>
      </w:r>
      <w:r w:rsidR="00893A1D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717 kn što je za 6</w:t>
      </w:r>
      <w:r w:rsidR="00893A1D" w:rsidRPr="003466C3">
        <w:rPr>
          <w:rFonts w:asciiTheme="minorHAnsi" w:hAnsiTheme="minorHAnsi"/>
        </w:rPr>
        <w:t xml:space="preserve">% </w:t>
      </w:r>
      <w:r>
        <w:rPr>
          <w:rFonts w:asciiTheme="minorHAnsi" w:hAnsiTheme="minorHAnsi"/>
        </w:rPr>
        <w:t>više</w:t>
      </w:r>
      <w:r w:rsidR="00893A1D" w:rsidRPr="003466C3">
        <w:rPr>
          <w:rFonts w:asciiTheme="minorHAnsi" w:hAnsiTheme="minorHAnsi"/>
        </w:rPr>
        <w:t xml:space="preserve"> nego prošle godine.</w:t>
      </w:r>
    </w:p>
    <w:p w:rsidR="00893A1D" w:rsidRPr="003466C3" w:rsidRDefault="00893A1D" w:rsidP="002734C1">
      <w:pPr>
        <w:jc w:val="both"/>
        <w:rPr>
          <w:rFonts w:asciiTheme="minorHAnsi" w:hAnsiTheme="minorHAnsi"/>
        </w:rPr>
      </w:pPr>
    </w:p>
    <w:p w:rsidR="00893A1D" w:rsidRDefault="001E1E99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lastRenderedPageBreak/>
        <w:t>Materijalni rashodi AOP</w:t>
      </w:r>
      <w:r w:rsidR="00AE316C">
        <w:rPr>
          <w:rFonts w:asciiTheme="minorHAnsi" w:hAnsiTheme="minorHAnsi"/>
        </w:rPr>
        <w:t xml:space="preserve"> 160 ostvareni su u iznosu od 25</w:t>
      </w:r>
      <w:r w:rsidRPr="003466C3">
        <w:rPr>
          <w:rFonts w:asciiTheme="minorHAnsi" w:hAnsiTheme="minorHAnsi"/>
        </w:rPr>
        <w:t>.</w:t>
      </w:r>
      <w:r w:rsidR="00AE316C">
        <w:rPr>
          <w:rFonts w:asciiTheme="minorHAnsi" w:hAnsiTheme="minorHAnsi"/>
        </w:rPr>
        <w:t>760</w:t>
      </w:r>
      <w:r w:rsidRPr="003466C3">
        <w:rPr>
          <w:rFonts w:asciiTheme="minorHAnsi" w:hAnsiTheme="minorHAnsi"/>
        </w:rPr>
        <w:t>.</w:t>
      </w:r>
      <w:r w:rsidR="00AE316C">
        <w:rPr>
          <w:rFonts w:asciiTheme="minorHAnsi" w:hAnsiTheme="minorHAnsi"/>
        </w:rPr>
        <w:t>654</w:t>
      </w:r>
      <w:r w:rsidR="00893A1D" w:rsidRPr="003466C3">
        <w:rPr>
          <w:rFonts w:asciiTheme="minorHAnsi" w:hAnsiTheme="minorHAnsi"/>
        </w:rPr>
        <w:t xml:space="preserve"> kn što je za </w:t>
      </w:r>
      <w:r w:rsidR="00AE316C">
        <w:rPr>
          <w:rFonts w:asciiTheme="minorHAnsi" w:hAnsiTheme="minorHAnsi"/>
        </w:rPr>
        <w:t>8</w:t>
      </w:r>
      <w:r w:rsidRPr="003466C3">
        <w:rPr>
          <w:rFonts w:asciiTheme="minorHAnsi" w:hAnsiTheme="minorHAnsi"/>
        </w:rPr>
        <w:t>,</w:t>
      </w:r>
      <w:r w:rsidR="00AE316C">
        <w:rPr>
          <w:rFonts w:asciiTheme="minorHAnsi" w:hAnsiTheme="minorHAnsi"/>
        </w:rPr>
        <w:t>3</w:t>
      </w:r>
      <w:r w:rsidRPr="003466C3">
        <w:rPr>
          <w:rFonts w:asciiTheme="minorHAnsi" w:hAnsiTheme="minorHAnsi"/>
        </w:rPr>
        <w:t xml:space="preserve"> % više nego u istom razdoblju prošle godine</w:t>
      </w:r>
      <w:r w:rsidR="00893A1D" w:rsidRPr="003466C3">
        <w:rPr>
          <w:rFonts w:asciiTheme="minorHAnsi" w:hAnsiTheme="minorHAnsi"/>
        </w:rPr>
        <w:t>.</w:t>
      </w:r>
    </w:p>
    <w:p w:rsidR="00E4030D" w:rsidRDefault="00CC65B1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Usluge tekućeg i investicijskog održavanja AOP</w:t>
      </w:r>
      <w:r w:rsidR="00E403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176 ostvarene su u iznosu od 11.022.977 što je za 15,5% više nego u istom razdoblju prošle godine a glavni razlog je povećanje održavanja nerazvrstanih cesta za skoro 2 milijuna kuna</w:t>
      </w:r>
      <w:r w:rsidR="00E4030D">
        <w:rPr>
          <w:rFonts w:asciiTheme="minorHAnsi" w:hAnsiTheme="minorHAnsi"/>
        </w:rPr>
        <w:t>.</w:t>
      </w:r>
    </w:p>
    <w:p w:rsidR="00CC65B1" w:rsidRDefault="00E4030D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CC65B1">
        <w:rPr>
          <w:rFonts w:asciiTheme="minorHAnsi" w:hAnsiTheme="minorHAnsi"/>
        </w:rPr>
        <w:t>omunaln</w:t>
      </w:r>
      <w:r>
        <w:rPr>
          <w:rFonts w:asciiTheme="minorHAnsi" w:hAnsiTheme="minorHAnsi"/>
        </w:rPr>
        <w:t>e</w:t>
      </w:r>
      <w:r w:rsidR="00CC65B1">
        <w:rPr>
          <w:rFonts w:asciiTheme="minorHAnsi" w:hAnsiTheme="minorHAnsi"/>
        </w:rPr>
        <w:t xml:space="preserve"> uslug</w:t>
      </w:r>
      <w:r>
        <w:rPr>
          <w:rFonts w:asciiTheme="minorHAnsi" w:hAnsiTheme="minorHAnsi"/>
        </w:rPr>
        <w:t>e AOP 178 su veće za 12,2% zbog povećanog</w:t>
      </w:r>
      <w:r w:rsidR="00AE3E7C">
        <w:rPr>
          <w:rFonts w:asciiTheme="minorHAnsi" w:hAnsiTheme="minorHAnsi"/>
        </w:rPr>
        <w:t xml:space="preserve"> odvoza smeća i nak</w:t>
      </w:r>
      <w:r w:rsidR="00CC65B1">
        <w:rPr>
          <w:rFonts w:asciiTheme="minorHAnsi" w:hAnsiTheme="minorHAnsi"/>
        </w:rPr>
        <w:t>n</w:t>
      </w:r>
      <w:r w:rsidR="00AE3E7C">
        <w:rPr>
          <w:rFonts w:asciiTheme="minorHAnsi" w:hAnsiTheme="minorHAnsi"/>
        </w:rPr>
        <w:t>a</w:t>
      </w:r>
      <w:r w:rsidR="00CC65B1">
        <w:rPr>
          <w:rFonts w:asciiTheme="minorHAnsi" w:hAnsiTheme="minorHAnsi"/>
        </w:rPr>
        <w:t>de za odlagalište Karepovac.</w:t>
      </w:r>
    </w:p>
    <w:p w:rsidR="00CC65B1" w:rsidRDefault="00CC65B1" w:rsidP="002734C1">
      <w:pPr>
        <w:jc w:val="both"/>
        <w:rPr>
          <w:rFonts w:asciiTheme="minorHAnsi" w:hAnsiTheme="minorHAnsi"/>
        </w:rPr>
      </w:pPr>
    </w:p>
    <w:p w:rsidR="00E259A7" w:rsidRDefault="00E259A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Intelektualne</w:t>
      </w:r>
      <w:r w:rsidR="002F549F">
        <w:rPr>
          <w:rFonts w:asciiTheme="minorHAnsi" w:hAnsiTheme="minorHAnsi"/>
        </w:rPr>
        <w:t xml:space="preserve"> i osobne usluge AOP 181 su ost</w:t>
      </w:r>
      <w:r>
        <w:rPr>
          <w:rFonts w:asciiTheme="minorHAnsi" w:hAnsiTheme="minorHAnsi"/>
        </w:rPr>
        <w:t>v</w:t>
      </w:r>
      <w:r w:rsidR="002F549F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rene u iznosu do 1.032.088  kn što je za 34,3% manje nego tijekom 2016.godine a glavni razlog su smanjeni ugovori o djelu u Komunalnom pogonu. </w:t>
      </w:r>
    </w:p>
    <w:p w:rsidR="00CC65B1" w:rsidRPr="003466C3" w:rsidRDefault="00CC65B1" w:rsidP="002734C1">
      <w:pPr>
        <w:jc w:val="both"/>
        <w:rPr>
          <w:rFonts w:asciiTheme="minorHAnsi" w:hAnsiTheme="minorHAnsi"/>
        </w:rPr>
      </w:pPr>
    </w:p>
    <w:p w:rsidR="00546E0A" w:rsidRDefault="00546E0A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Ostale usluge AOP 183 su ostvarene u iznosu do 1.912.841 kn što je za 38,7 % više nego u istom razdoblju prošle godine. Razlozi su povećano financiranje rada skloništa za životinje, veći rashodi za obilježavanje blagdana, za kaštelanska kulturna događanja (koncerti i predstave) te za EU projekte</w:t>
      </w:r>
      <w:r w:rsidR="006537E5">
        <w:rPr>
          <w:rFonts w:asciiTheme="minorHAnsi" w:hAnsiTheme="minorHAnsi"/>
        </w:rPr>
        <w:t xml:space="preserve"> (razvojna strategija, lokalno poduzetništvo)</w:t>
      </w:r>
      <w:r>
        <w:rPr>
          <w:rFonts w:asciiTheme="minorHAnsi" w:hAnsiTheme="minorHAnsi"/>
        </w:rPr>
        <w:t>.</w:t>
      </w:r>
    </w:p>
    <w:p w:rsidR="00546E0A" w:rsidRDefault="00546E0A" w:rsidP="002734C1">
      <w:pPr>
        <w:jc w:val="both"/>
        <w:rPr>
          <w:rFonts w:asciiTheme="minorHAnsi" w:hAnsiTheme="minorHAnsi"/>
        </w:rPr>
      </w:pPr>
    </w:p>
    <w:p w:rsidR="00E259A7" w:rsidRDefault="00E259A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Ostali nespomenuti rashodi poslovanja AOP</w:t>
      </w:r>
      <w:r w:rsidR="002F54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185 su ostvareni u iznosu do 1.503.273 kn što je za 30,6% više nego prošle godine a glavni razlog su povećani rashodi za naknade članovima povjerenstva zbog proteklih izbora, većih troškova reprezentacije AOP 188 te ostali nespomenuti rashodi AOP 192 a odnose se uglavnom na troškove za izbore (promidžba).</w:t>
      </w:r>
    </w:p>
    <w:p w:rsidR="00E259A7" w:rsidRDefault="00E259A7" w:rsidP="002734C1">
      <w:pPr>
        <w:jc w:val="both"/>
        <w:rPr>
          <w:rFonts w:asciiTheme="minorHAnsi" w:hAnsiTheme="minorHAnsi"/>
        </w:rPr>
      </w:pPr>
    </w:p>
    <w:p w:rsidR="00A84D7F" w:rsidRPr="003466C3" w:rsidRDefault="00E259A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Financijski rashodi AOP 193</w:t>
      </w:r>
      <w:r w:rsidR="00A84D7F" w:rsidRPr="003466C3">
        <w:rPr>
          <w:rFonts w:asciiTheme="minorHAnsi" w:hAnsiTheme="minorHAnsi"/>
        </w:rPr>
        <w:t xml:space="preserve"> ostvareni su u iznosu od </w:t>
      </w:r>
      <w:r>
        <w:rPr>
          <w:rFonts w:asciiTheme="minorHAnsi" w:hAnsiTheme="minorHAnsi"/>
        </w:rPr>
        <w:t>749</w:t>
      </w:r>
      <w:r w:rsidR="00A84D7F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619 kn što je za 17,8</w:t>
      </w:r>
      <w:r w:rsidR="00A84D7F" w:rsidRPr="003466C3">
        <w:rPr>
          <w:rFonts w:asciiTheme="minorHAnsi" w:hAnsiTheme="minorHAnsi"/>
        </w:rPr>
        <w:t xml:space="preserve">% </w:t>
      </w:r>
      <w:r>
        <w:rPr>
          <w:rFonts w:asciiTheme="minorHAnsi" w:hAnsiTheme="minorHAnsi"/>
        </w:rPr>
        <w:t>više</w:t>
      </w:r>
      <w:r w:rsidR="00A84D7F" w:rsidRPr="003466C3">
        <w:rPr>
          <w:rFonts w:asciiTheme="minorHAnsi" w:hAnsiTheme="minorHAnsi"/>
        </w:rPr>
        <w:t xml:space="preserve"> nego prošle godine iz razloga većih troškova po presudama i sudskim sporovima tijekom 201</w:t>
      </w:r>
      <w:r>
        <w:rPr>
          <w:rFonts w:asciiTheme="minorHAnsi" w:hAnsiTheme="minorHAnsi"/>
        </w:rPr>
        <w:t>6</w:t>
      </w:r>
      <w:r w:rsidR="00A84D7F" w:rsidRPr="003466C3">
        <w:rPr>
          <w:rFonts w:asciiTheme="minorHAnsi" w:hAnsiTheme="minorHAnsi"/>
        </w:rPr>
        <w:t>.godine</w:t>
      </w:r>
      <w:r w:rsidR="00EB0497">
        <w:rPr>
          <w:rFonts w:asciiTheme="minorHAnsi" w:hAnsiTheme="minorHAnsi"/>
        </w:rPr>
        <w:t xml:space="preserve"> (AOP 210 i 211</w:t>
      </w:r>
      <w:r w:rsidR="00E14627" w:rsidRPr="003466C3">
        <w:rPr>
          <w:rFonts w:asciiTheme="minorHAnsi" w:hAnsiTheme="minorHAnsi"/>
        </w:rPr>
        <w:t>)</w:t>
      </w:r>
      <w:r w:rsidR="00A84D7F" w:rsidRPr="003466C3">
        <w:rPr>
          <w:rFonts w:asciiTheme="minorHAnsi" w:hAnsiTheme="minorHAnsi"/>
        </w:rPr>
        <w:t>.</w:t>
      </w:r>
    </w:p>
    <w:p w:rsidR="00A84D7F" w:rsidRPr="003466C3" w:rsidRDefault="00A84D7F" w:rsidP="002734C1">
      <w:pPr>
        <w:jc w:val="both"/>
        <w:rPr>
          <w:rFonts w:asciiTheme="minorHAnsi" w:hAnsiTheme="minorHAnsi"/>
        </w:rPr>
      </w:pPr>
    </w:p>
    <w:p w:rsidR="00EB0497" w:rsidRDefault="00EB049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Subvencije AOP 212 ostvarene su u iznosu od 63.108 kn odnosno 59,5% manje nego prošle godine</w:t>
      </w:r>
      <w:r w:rsidR="00427A21">
        <w:rPr>
          <w:rFonts w:asciiTheme="minorHAnsi" w:hAnsiTheme="minorHAnsi"/>
        </w:rPr>
        <w:t xml:space="preserve"> zbog </w:t>
      </w:r>
      <w:r w:rsidR="003F3F7B">
        <w:rPr>
          <w:rFonts w:asciiTheme="minorHAnsi" w:hAnsiTheme="minorHAnsi"/>
        </w:rPr>
        <w:t xml:space="preserve">prošlogodišnjeg </w:t>
      </w:r>
      <w:r w:rsidR="00427A21">
        <w:rPr>
          <w:rFonts w:asciiTheme="minorHAnsi" w:hAnsiTheme="minorHAnsi"/>
        </w:rPr>
        <w:t>povrata 100.000 kn Splitsko-dalmatinskoj županiji za obrtnike.</w:t>
      </w:r>
    </w:p>
    <w:p w:rsidR="00EB0497" w:rsidRDefault="00EB0497" w:rsidP="002734C1">
      <w:pPr>
        <w:jc w:val="both"/>
        <w:rPr>
          <w:rFonts w:asciiTheme="minorHAnsi" w:hAnsiTheme="minorHAnsi"/>
        </w:rPr>
      </w:pPr>
    </w:p>
    <w:p w:rsidR="00EB0497" w:rsidRDefault="00EB0497" w:rsidP="002734C1">
      <w:pPr>
        <w:jc w:val="both"/>
        <w:rPr>
          <w:rFonts w:asciiTheme="minorHAnsi" w:hAnsiTheme="minorHAnsi"/>
        </w:rPr>
      </w:pPr>
    </w:p>
    <w:p w:rsidR="001E1E99" w:rsidRDefault="001E1E99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Naknade građanima i kućanstvima na temelju os</w:t>
      </w:r>
      <w:r w:rsidR="00CE11E3">
        <w:rPr>
          <w:rFonts w:asciiTheme="minorHAnsi" w:hAnsiTheme="minorHAnsi"/>
        </w:rPr>
        <w:t>iguranja i druge naknade AOP 246</w:t>
      </w:r>
      <w:r w:rsidRPr="003466C3">
        <w:rPr>
          <w:rFonts w:asciiTheme="minorHAnsi" w:hAnsiTheme="minorHAnsi"/>
        </w:rPr>
        <w:t xml:space="preserve"> su ostvarene</w:t>
      </w:r>
      <w:r w:rsidR="00A84D7F" w:rsidRPr="003466C3">
        <w:rPr>
          <w:rFonts w:asciiTheme="minorHAnsi" w:hAnsiTheme="minorHAnsi"/>
        </w:rPr>
        <w:t xml:space="preserve"> u iznosu 7.</w:t>
      </w:r>
      <w:r w:rsidR="00107F37">
        <w:rPr>
          <w:rFonts w:asciiTheme="minorHAnsi" w:hAnsiTheme="minorHAnsi"/>
        </w:rPr>
        <w:t>677</w:t>
      </w:r>
      <w:r w:rsidRPr="003466C3">
        <w:rPr>
          <w:rFonts w:asciiTheme="minorHAnsi" w:hAnsiTheme="minorHAnsi"/>
        </w:rPr>
        <w:t>.</w:t>
      </w:r>
      <w:r w:rsidR="00107F37">
        <w:rPr>
          <w:rFonts w:asciiTheme="minorHAnsi" w:hAnsiTheme="minorHAnsi"/>
        </w:rPr>
        <w:t>253</w:t>
      </w:r>
      <w:r w:rsidR="00A84D7F" w:rsidRPr="003466C3">
        <w:rPr>
          <w:rFonts w:asciiTheme="minorHAnsi" w:hAnsiTheme="minorHAnsi"/>
        </w:rPr>
        <w:t xml:space="preserve"> kn, </w:t>
      </w:r>
      <w:r w:rsidR="00107F37">
        <w:rPr>
          <w:rFonts w:asciiTheme="minorHAnsi" w:hAnsiTheme="minorHAnsi"/>
        </w:rPr>
        <w:t>odnosno za 4</w:t>
      </w:r>
      <w:r w:rsidRPr="003466C3">
        <w:rPr>
          <w:rFonts w:asciiTheme="minorHAnsi" w:hAnsiTheme="minorHAnsi"/>
        </w:rPr>
        <w:t>,</w:t>
      </w:r>
      <w:r w:rsidR="00107F37">
        <w:rPr>
          <w:rFonts w:asciiTheme="minorHAnsi" w:hAnsiTheme="minorHAnsi"/>
        </w:rPr>
        <w:t>5 % više nego tijekom 2016</w:t>
      </w:r>
      <w:r w:rsidRPr="003466C3">
        <w:rPr>
          <w:rFonts w:asciiTheme="minorHAnsi" w:hAnsiTheme="minorHAnsi"/>
        </w:rPr>
        <w:t>.godine</w:t>
      </w:r>
      <w:r w:rsidR="00107F37">
        <w:rPr>
          <w:rFonts w:asciiTheme="minorHAnsi" w:hAnsiTheme="minorHAnsi"/>
        </w:rPr>
        <w:t xml:space="preserve"> a uglavnom zbog većih rashoda za Božićnice jer su se u 2017.godini iste dijeli</w:t>
      </w:r>
      <w:r w:rsidR="002F549F">
        <w:rPr>
          <w:rFonts w:asciiTheme="minorHAnsi" w:hAnsiTheme="minorHAnsi"/>
        </w:rPr>
        <w:t>le i nezaposlenim osobama na pod</w:t>
      </w:r>
      <w:r w:rsidR="00107F37">
        <w:rPr>
          <w:rFonts w:asciiTheme="minorHAnsi" w:hAnsiTheme="minorHAnsi"/>
        </w:rPr>
        <w:t>ručju grada</w:t>
      </w:r>
      <w:r w:rsidRPr="003466C3">
        <w:rPr>
          <w:rFonts w:asciiTheme="minorHAnsi" w:hAnsiTheme="minorHAnsi"/>
        </w:rPr>
        <w:t>.</w:t>
      </w:r>
    </w:p>
    <w:p w:rsidR="00107F37" w:rsidRDefault="00107F37" w:rsidP="002734C1">
      <w:pPr>
        <w:jc w:val="both"/>
        <w:rPr>
          <w:rFonts w:asciiTheme="minorHAnsi" w:hAnsiTheme="minorHAnsi"/>
        </w:rPr>
      </w:pPr>
    </w:p>
    <w:p w:rsidR="00107F37" w:rsidRPr="003466C3" w:rsidRDefault="00107F37" w:rsidP="002734C1">
      <w:pPr>
        <w:jc w:val="both"/>
        <w:rPr>
          <w:rFonts w:asciiTheme="minorHAnsi" w:hAnsiTheme="minorHAnsi"/>
        </w:rPr>
      </w:pPr>
    </w:p>
    <w:p w:rsidR="00A84D7F" w:rsidRPr="003466C3" w:rsidRDefault="00124A1C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Ostali rashodi AOP 257 ostvareni su u iznosu od 24</w:t>
      </w:r>
      <w:r w:rsidR="00A84D7F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603</w:t>
      </w:r>
      <w:r w:rsidR="00A84D7F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728 kn što je za 14,8</w:t>
      </w:r>
      <w:r w:rsidR="00A84D7F" w:rsidRPr="003466C3">
        <w:rPr>
          <w:rFonts w:asciiTheme="minorHAnsi" w:hAnsiTheme="minorHAnsi"/>
        </w:rPr>
        <w:t>% više nego 201</w:t>
      </w:r>
      <w:r>
        <w:rPr>
          <w:rFonts w:asciiTheme="minorHAnsi" w:hAnsiTheme="minorHAnsi"/>
        </w:rPr>
        <w:t>6</w:t>
      </w:r>
      <w:r w:rsidR="00453A9C">
        <w:rPr>
          <w:rFonts w:asciiTheme="minorHAnsi" w:hAnsiTheme="minorHAnsi"/>
        </w:rPr>
        <w:t xml:space="preserve">.i to zbog </w:t>
      </w:r>
      <w:r w:rsidR="00A84D7F" w:rsidRPr="003466C3">
        <w:rPr>
          <w:rFonts w:asciiTheme="minorHAnsi" w:hAnsiTheme="minorHAnsi"/>
        </w:rPr>
        <w:t xml:space="preserve"> većih isplata tekućih i kapitalnih donacija</w:t>
      </w:r>
      <w:r>
        <w:rPr>
          <w:rFonts w:asciiTheme="minorHAnsi" w:hAnsiTheme="minorHAnsi"/>
        </w:rPr>
        <w:t xml:space="preserve"> sportskim društvima, Vatrogasno</w:t>
      </w:r>
      <w:r w:rsidR="004E0C17">
        <w:rPr>
          <w:rFonts w:asciiTheme="minorHAnsi" w:hAnsiTheme="minorHAnsi"/>
        </w:rPr>
        <w:t>j zajednici, Gorskoj službi spaš</w:t>
      </w:r>
      <w:r>
        <w:rPr>
          <w:rFonts w:asciiTheme="minorHAnsi" w:hAnsiTheme="minorHAnsi"/>
        </w:rPr>
        <w:t>avanja, glazbenim udrugama...</w:t>
      </w:r>
      <w:r w:rsidR="00A84D7F" w:rsidRPr="003466C3">
        <w:rPr>
          <w:rFonts w:asciiTheme="minorHAnsi" w:hAnsiTheme="minorHAnsi"/>
        </w:rPr>
        <w:t>.</w:t>
      </w:r>
    </w:p>
    <w:p w:rsidR="001E1E99" w:rsidRPr="003466C3" w:rsidRDefault="001E1E99" w:rsidP="002734C1">
      <w:pPr>
        <w:jc w:val="both"/>
        <w:rPr>
          <w:rFonts w:asciiTheme="minorHAnsi" w:hAnsiTheme="minorHAnsi"/>
        </w:rPr>
      </w:pPr>
    </w:p>
    <w:p w:rsidR="00893A1D" w:rsidRPr="003466C3" w:rsidRDefault="00893A1D">
      <w:pPr>
        <w:rPr>
          <w:rFonts w:asciiTheme="minorHAnsi" w:hAnsiTheme="minorHAnsi"/>
        </w:rPr>
      </w:pPr>
    </w:p>
    <w:p w:rsidR="00AB72BE" w:rsidRPr="003466C3" w:rsidRDefault="00907A51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Bilješka br.4</w:t>
      </w:r>
      <w:r w:rsidR="00AB72BE" w:rsidRPr="003466C3">
        <w:rPr>
          <w:rFonts w:asciiTheme="minorHAnsi" w:hAnsiTheme="minorHAnsi"/>
        </w:rPr>
        <w:t xml:space="preserve"> RASHODI ZA NABAVU NEFINANCIJSKE IMOVINE</w:t>
      </w:r>
      <w:r w:rsidR="0071593E" w:rsidRPr="003466C3">
        <w:rPr>
          <w:rFonts w:asciiTheme="minorHAnsi" w:hAnsiTheme="minorHAnsi"/>
        </w:rPr>
        <w:t xml:space="preserve"> A</w:t>
      </w:r>
      <w:r w:rsidR="00453A9C">
        <w:rPr>
          <w:rFonts w:asciiTheme="minorHAnsi" w:hAnsiTheme="minorHAnsi"/>
        </w:rPr>
        <w:t>OP 3</w:t>
      </w:r>
      <w:r w:rsidR="0071593E" w:rsidRPr="003466C3">
        <w:rPr>
          <w:rFonts w:asciiTheme="minorHAnsi" w:hAnsiTheme="minorHAnsi"/>
        </w:rPr>
        <w:t>4</w:t>
      </w:r>
      <w:r w:rsidR="00453A9C">
        <w:rPr>
          <w:rFonts w:asciiTheme="minorHAnsi" w:hAnsiTheme="minorHAnsi"/>
        </w:rPr>
        <w:t>1</w:t>
      </w:r>
    </w:p>
    <w:p w:rsidR="0071593E" w:rsidRPr="003466C3" w:rsidRDefault="0071593E">
      <w:pPr>
        <w:rPr>
          <w:rFonts w:asciiTheme="minorHAnsi" w:hAnsiTheme="minorHAnsi"/>
        </w:rPr>
      </w:pPr>
    </w:p>
    <w:p w:rsidR="00453A9C" w:rsidRDefault="00B17BA4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Rashodi za </w:t>
      </w:r>
      <w:r w:rsidR="00244EFA" w:rsidRPr="003466C3">
        <w:rPr>
          <w:rFonts w:asciiTheme="minorHAnsi" w:hAnsiTheme="minorHAnsi"/>
        </w:rPr>
        <w:t xml:space="preserve">nabavu nefinancijske imovine  </w:t>
      </w:r>
      <w:r w:rsidR="00FE1188" w:rsidRPr="003466C3">
        <w:rPr>
          <w:rFonts w:asciiTheme="minorHAnsi" w:hAnsiTheme="minorHAnsi"/>
        </w:rPr>
        <w:t>o</w:t>
      </w:r>
      <w:r w:rsidR="006963D3" w:rsidRPr="003466C3">
        <w:rPr>
          <w:rFonts w:asciiTheme="minorHAnsi" w:hAnsiTheme="minorHAnsi"/>
        </w:rPr>
        <w:t xml:space="preserve">stvareni su u iznosu od </w:t>
      </w:r>
      <w:r w:rsidR="00453A9C">
        <w:rPr>
          <w:rFonts w:asciiTheme="minorHAnsi" w:hAnsiTheme="minorHAnsi"/>
        </w:rPr>
        <w:t>18</w:t>
      </w:r>
      <w:r w:rsidR="001A29DA" w:rsidRPr="003466C3">
        <w:rPr>
          <w:rFonts w:asciiTheme="minorHAnsi" w:hAnsiTheme="minorHAnsi"/>
        </w:rPr>
        <w:t>.</w:t>
      </w:r>
      <w:r w:rsidR="00453A9C">
        <w:rPr>
          <w:rFonts w:asciiTheme="minorHAnsi" w:hAnsiTheme="minorHAnsi"/>
        </w:rPr>
        <w:t>292</w:t>
      </w:r>
      <w:r w:rsidR="001A29DA" w:rsidRPr="003466C3">
        <w:rPr>
          <w:rFonts w:asciiTheme="minorHAnsi" w:hAnsiTheme="minorHAnsi"/>
        </w:rPr>
        <w:t>.</w:t>
      </w:r>
      <w:r w:rsidR="00453A9C">
        <w:rPr>
          <w:rFonts w:asciiTheme="minorHAnsi" w:hAnsiTheme="minorHAnsi"/>
        </w:rPr>
        <w:t>351</w:t>
      </w:r>
      <w:r w:rsidR="00251A58" w:rsidRPr="003466C3">
        <w:rPr>
          <w:rFonts w:asciiTheme="minorHAnsi" w:hAnsiTheme="minorHAnsi"/>
        </w:rPr>
        <w:t xml:space="preserve"> kn što je za </w:t>
      </w:r>
      <w:r w:rsidR="00453A9C">
        <w:rPr>
          <w:rFonts w:asciiTheme="minorHAnsi" w:hAnsiTheme="minorHAnsi"/>
        </w:rPr>
        <w:t>2</w:t>
      </w:r>
      <w:r w:rsidR="00251A58" w:rsidRPr="003466C3">
        <w:rPr>
          <w:rFonts w:asciiTheme="minorHAnsi" w:hAnsiTheme="minorHAnsi"/>
        </w:rPr>
        <w:t>9%</w:t>
      </w:r>
      <w:r w:rsidR="00453A9C">
        <w:rPr>
          <w:rFonts w:asciiTheme="minorHAnsi" w:hAnsiTheme="minorHAnsi"/>
        </w:rPr>
        <w:t xml:space="preserve"> više</w:t>
      </w:r>
      <w:r w:rsidR="001A29DA" w:rsidRPr="003466C3">
        <w:rPr>
          <w:rFonts w:asciiTheme="minorHAnsi" w:hAnsiTheme="minorHAnsi"/>
        </w:rPr>
        <w:t xml:space="preserve"> nego u istom razdoblju prošle godine.</w:t>
      </w:r>
      <w:r w:rsidR="007B2F2C" w:rsidRPr="003466C3">
        <w:rPr>
          <w:rFonts w:asciiTheme="minorHAnsi" w:hAnsiTheme="minorHAnsi"/>
        </w:rPr>
        <w:t xml:space="preserve"> </w:t>
      </w:r>
    </w:p>
    <w:p w:rsidR="00453A9C" w:rsidRDefault="00453A9C" w:rsidP="002734C1">
      <w:pPr>
        <w:jc w:val="both"/>
        <w:rPr>
          <w:rFonts w:asciiTheme="minorHAnsi" w:hAnsiTheme="minorHAnsi"/>
        </w:rPr>
      </w:pPr>
    </w:p>
    <w:p w:rsidR="00251A58" w:rsidRPr="003466C3" w:rsidRDefault="007B2F2C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lastRenderedPageBreak/>
        <w:t>Rashodi za nabavu neproizvedene dugotrajne imovine AO</w:t>
      </w:r>
      <w:r w:rsidR="00453A9C">
        <w:rPr>
          <w:rFonts w:asciiTheme="minorHAnsi" w:hAnsiTheme="minorHAnsi"/>
        </w:rPr>
        <w:t>P 342 su ostvareni u iznosu od 3</w:t>
      </w:r>
      <w:r w:rsidRPr="003466C3">
        <w:rPr>
          <w:rFonts w:asciiTheme="minorHAnsi" w:hAnsiTheme="minorHAnsi"/>
        </w:rPr>
        <w:t>.</w:t>
      </w:r>
      <w:r w:rsidR="00453A9C">
        <w:rPr>
          <w:rFonts w:asciiTheme="minorHAnsi" w:hAnsiTheme="minorHAnsi"/>
        </w:rPr>
        <w:t>186</w:t>
      </w:r>
      <w:r w:rsidRPr="003466C3">
        <w:rPr>
          <w:rFonts w:asciiTheme="minorHAnsi" w:hAnsiTheme="minorHAnsi"/>
        </w:rPr>
        <w:t>.</w:t>
      </w:r>
      <w:r w:rsidR="00453A9C">
        <w:rPr>
          <w:rFonts w:asciiTheme="minorHAnsi" w:hAnsiTheme="minorHAnsi"/>
        </w:rPr>
        <w:t>690 kn što je za 21</w:t>
      </w:r>
      <w:r w:rsidRPr="003466C3">
        <w:rPr>
          <w:rFonts w:asciiTheme="minorHAnsi" w:hAnsiTheme="minorHAnsi"/>
        </w:rPr>
        <w:t>,</w:t>
      </w:r>
      <w:r w:rsidR="00453A9C">
        <w:rPr>
          <w:rFonts w:asciiTheme="minorHAnsi" w:hAnsiTheme="minorHAnsi"/>
        </w:rPr>
        <w:t>3% manje nego 2016</w:t>
      </w:r>
      <w:r w:rsidRPr="003466C3">
        <w:rPr>
          <w:rFonts w:asciiTheme="minorHAnsi" w:hAnsiTheme="minorHAnsi"/>
        </w:rPr>
        <w:t xml:space="preserve">.godine. Veći dio se odnosi na kupnju građevinskog zemljišta </w:t>
      </w:r>
      <w:r w:rsidR="00327D8A">
        <w:rPr>
          <w:rFonts w:asciiTheme="minorHAnsi" w:hAnsiTheme="minorHAnsi"/>
        </w:rPr>
        <w:t xml:space="preserve"> te izrada projekata, ela</w:t>
      </w:r>
      <w:r w:rsidR="00461167" w:rsidRPr="003466C3">
        <w:rPr>
          <w:rFonts w:asciiTheme="minorHAnsi" w:hAnsiTheme="minorHAnsi"/>
        </w:rPr>
        <w:t>borata i ostale dokumentacije.</w:t>
      </w:r>
      <w:r w:rsidR="00457F88" w:rsidRPr="003466C3">
        <w:rPr>
          <w:rFonts w:asciiTheme="minorHAnsi" w:hAnsiTheme="minorHAnsi"/>
        </w:rPr>
        <w:t xml:space="preserve"> </w:t>
      </w:r>
    </w:p>
    <w:p w:rsidR="00251A58" w:rsidRDefault="00453A9C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računu 4111-Zemljište AOP 344</w:t>
      </w:r>
      <w:r w:rsidR="00327D8A">
        <w:rPr>
          <w:rFonts w:asciiTheme="minorHAnsi" w:hAnsiTheme="minorHAnsi"/>
        </w:rPr>
        <w:t xml:space="preserve"> evidentirane su sl</w:t>
      </w:r>
      <w:r w:rsidR="00251A58" w:rsidRPr="003466C3">
        <w:rPr>
          <w:rFonts w:asciiTheme="minorHAnsi" w:hAnsiTheme="minorHAnsi"/>
        </w:rPr>
        <w:t xml:space="preserve">jedeće promjene: </w:t>
      </w:r>
    </w:p>
    <w:p w:rsidR="00453A9C" w:rsidRDefault="00453A9C" w:rsidP="002734C1">
      <w:pPr>
        <w:jc w:val="both"/>
        <w:rPr>
          <w:rFonts w:asciiTheme="minorHAnsi" w:hAnsiTheme="minorHAnsi"/>
        </w:rPr>
      </w:pPr>
    </w:p>
    <w:tbl>
      <w:tblPr>
        <w:tblW w:w="9084" w:type="dxa"/>
        <w:tblInd w:w="96" w:type="dxa"/>
        <w:tblLook w:val="04A0"/>
      </w:tblPr>
      <w:tblGrid>
        <w:gridCol w:w="1331"/>
        <w:gridCol w:w="6241"/>
        <w:gridCol w:w="1512"/>
      </w:tblGrid>
      <w:tr w:rsidR="00453A9C" w:rsidRPr="00453A9C" w:rsidTr="00453A9C">
        <w:trPr>
          <w:trHeight w:val="30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Knjiženo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27.ožu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zemljišta u K.Lukšiću (Put sv.Lovre)                     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3.648,00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18.svi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Kupovina  69 m2, tj 69/1719 dijela č.zem.830/2 K.O.K.Gomilica   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43.662,20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29.kol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Kupovina dijela č.zem.71/10 K.O.K.Lukšić (13/56)                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19.550,00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29.kol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č.zem.72/2  K.OK.Lukšić (38/74)                   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57.100,00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29.kol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Kupovina č.zem.71/10 K.O.K.Lukšić (13/56)                       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19.550,00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10.lis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Nagodba o naknadi prijenosa zemljišta č.z. 1056/2 KO Kaštel Novi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76.710,00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10.lis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Nagodba o naknadi prijenosa zemljišta č.z. 1056/2 KO Kaštel Novi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č.z.516/6 K.O.K.Novi  u svrhu rekonstrukcije Raduničeve ulice u K.Novom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51.007,00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 dio 516/5 k.o. K.Novi-rekonstrukcija Radunićeve ulice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65.102,90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 517/13 k.o. K. Novi-rekonstrukcija Radunićeve ulice u K. Novome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8.396,00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čest.zem. 516/5 k.o. K. Novi-rekonstrukcija Radunićeve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26.255,40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 512/5 k.o. K. Novi-rekonstrukcija Radunićeve ulice u K. Novome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132.510,00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 512/5 k.o. K. Novi-rekonstrukcija Radunićeve ulice u K. Novome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105.240,00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čest.zem.517/14 k.o. K. Novi- rekonstrukcija Radunićeve ulice u K.Novome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116.520,00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čest.zem 517/15 k.o. K. Novi-rekonstrukcija Radunićeve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dijela čest.zem 517/15 k.o. K. Novi-r</w:t>
            </w:r>
            <w:r w:rsidR="00174CF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ekonstrukcija Radunićeve ulice </w:t>
            </w: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 499/15 k.o. K. Novi- rekonstrukcija Radunićeve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39.875,50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 499/15 k.o. K. Novi- rekonstrukcija Radunićeva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39.875,50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č.zem.517/15 K.O.K.Novi u svrhu rekonstrukcije Raduničeve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47.492,00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č.zem.485/45 K.o.K.Novi u svrhu rekonstrukcije Raduničeve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98.687,50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30.146,00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30.146,00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30.147,00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30.147,00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 rekonstrukcije Raduničeve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30.147,00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20.pro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174CF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30.147,00</w:t>
            </w:r>
          </w:p>
        </w:tc>
      </w:tr>
      <w:tr w:rsidR="00453A9C" w:rsidRPr="00453A9C" w:rsidTr="00453A9C">
        <w:trPr>
          <w:trHeight w:val="3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 SUMA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53A9C" w:rsidRPr="00453A9C" w:rsidRDefault="00453A9C" w:rsidP="00453A9C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A9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1.257.662,00</w:t>
            </w:r>
          </w:p>
        </w:tc>
      </w:tr>
    </w:tbl>
    <w:p w:rsidR="00453A9C" w:rsidRPr="003466C3" w:rsidRDefault="00453A9C" w:rsidP="002734C1">
      <w:pPr>
        <w:jc w:val="both"/>
        <w:rPr>
          <w:rFonts w:asciiTheme="minorHAnsi" w:hAnsiTheme="minorHAnsi"/>
        </w:rPr>
      </w:pPr>
    </w:p>
    <w:p w:rsidR="00174CF4" w:rsidRDefault="00174CF4" w:rsidP="002734C1">
      <w:pPr>
        <w:jc w:val="both"/>
        <w:rPr>
          <w:rFonts w:asciiTheme="minorHAnsi" w:hAnsiTheme="minorHAnsi"/>
        </w:rPr>
      </w:pPr>
    </w:p>
    <w:p w:rsidR="003F3F7B" w:rsidRDefault="003F3F7B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Nematerijalna imovina AOP 347 je ostvarena u iznosu od 1.929.028 kn što je za 47,3% više nego 2016.godine.</w:t>
      </w:r>
      <w:r w:rsidR="00AE20C2">
        <w:rPr>
          <w:rFonts w:asciiTheme="minorHAnsi" w:hAnsiTheme="minorHAnsi"/>
        </w:rPr>
        <w:t xml:space="preserve"> Razlozi su više projekata za vodoopskrbu, za projekt Perpetuum baštine, te nabavka računalnih programa i licenci.</w:t>
      </w:r>
    </w:p>
    <w:p w:rsidR="00AE20C2" w:rsidRDefault="00AE20C2" w:rsidP="002734C1">
      <w:pPr>
        <w:jc w:val="both"/>
        <w:rPr>
          <w:rFonts w:asciiTheme="minorHAnsi" w:hAnsiTheme="minorHAnsi"/>
        </w:rPr>
      </w:pPr>
    </w:p>
    <w:p w:rsidR="00535D92" w:rsidRDefault="00535D92" w:rsidP="002734C1">
      <w:pPr>
        <w:jc w:val="both"/>
        <w:rPr>
          <w:rFonts w:asciiTheme="minorHAnsi" w:hAnsiTheme="minorHAnsi"/>
        </w:rPr>
      </w:pPr>
    </w:p>
    <w:p w:rsidR="001A29DA" w:rsidRDefault="00457F88" w:rsidP="002734C1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Rashodi za nabavu proizveden</w:t>
      </w:r>
      <w:r w:rsidR="00154512">
        <w:rPr>
          <w:rFonts w:asciiTheme="minorHAnsi" w:hAnsiTheme="minorHAnsi"/>
        </w:rPr>
        <w:t>e dugotrajne imovine AOP 354</w:t>
      </w:r>
      <w:r w:rsidRPr="003466C3">
        <w:rPr>
          <w:rFonts w:asciiTheme="minorHAnsi" w:hAnsiTheme="minorHAnsi"/>
        </w:rPr>
        <w:t xml:space="preserve"> su o</w:t>
      </w:r>
      <w:r w:rsidR="00154512">
        <w:rPr>
          <w:rFonts w:asciiTheme="minorHAnsi" w:hAnsiTheme="minorHAnsi"/>
        </w:rPr>
        <w:t>stvareni u iznosi od 7</w:t>
      </w:r>
      <w:r w:rsidRPr="003466C3">
        <w:rPr>
          <w:rFonts w:asciiTheme="minorHAnsi" w:hAnsiTheme="minorHAnsi"/>
        </w:rPr>
        <w:t>.</w:t>
      </w:r>
      <w:r w:rsidR="00154512">
        <w:rPr>
          <w:rFonts w:asciiTheme="minorHAnsi" w:hAnsiTheme="minorHAnsi"/>
        </w:rPr>
        <w:t>587</w:t>
      </w:r>
      <w:r w:rsidRPr="003466C3">
        <w:rPr>
          <w:rFonts w:asciiTheme="minorHAnsi" w:hAnsiTheme="minorHAnsi"/>
        </w:rPr>
        <w:t>.</w:t>
      </w:r>
      <w:r w:rsidR="00154512">
        <w:rPr>
          <w:rFonts w:asciiTheme="minorHAnsi" w:hAnsiTheme="minorHAnsi"/>
        </w:rPr>
        <w:t>446 kn što je za 119</w:t>
      </w:r>
      <w:r w:rsidR="003B3C91" w:rsidRPr="003466C3">
        <w:rPr>
          <w:rFonts w:asciiTheme="minorHAnsi" w:hAnsiTheme="minorHAnsi"/>
        </w:rPr>
        <w:t>,</w:t>
      </w:r>
      <w:r w:rsidR="00154512">
        <w:rPr>
          <w:rFonts w:asciiTheme="minorHAnsi" w:hAnsiTheme="minorHAnsi"/>
        </w:rPr>
        <w:t>5</w:t>
      </w:r>
      <w:r w:rsidRPr="003466C3">
        <w:rPr>
          <w:rFonts w:asciiTheme="minorHAnsi" w:hAnsiTheme="minorHAnsi"/>
        </w:rPr>
        <w:t xml:space="preserve">% </w:t>
      </w:r>
      <w:r w:rsidR="00154512">
        <w:rPr>
          <w:rFonts w:asciiTheme="minorHAnsi" w:hAnsiTheme="minorHAnsi"/>
        </w:rPr>
        <w:t>više</w:t>
      </w:r>
      <w:r w:rsidRPr="003466C3">
        <w:rPr>
          <w:rFonts w:asciiTheme="minorHAnsi" w:hAnsiTheme="minorHAnsi"/>
        </w:rPr>
        <w:t xml:space="preserve"> nego u istom razdoblju prošle godine</w:t>
      </w:r>
      <w:r w:rsidR="00154512">
        <w:rPr>
          <w:rFonts w:asciiTheme="minorHAnsi" w:hAnsiTheme="minorHAnsi"/>
        </w:rPr>
        <w:t>. Razlog tolikog povećanja je veća stavka na</w:t>
      </w:r>
      <w:r w:rsidR="00761D01">
        <w:rPr>
          <w:rFonts w:asciiTheme="minorHAnsi" w:hAnsiTheme="minorHAnsi"/>
        </w:rPr>
        <w:t xml:space="preserve"> AOP 359 – Ostali građevinski objekti ostva</w:t>
      </w:r>
      <w:r w:rsidR="00154512">
        <w:rPr>
          <w:rFonts w:asciiTheme="minorHAnsi" w:hAnsiTheme="minorHAnsi"/>
        </w:rPr>
        <w:t>reni u iznosu od 6.461.885</w:t>
      </w:r>
      <w:r w:rsidR="00761D01">
        <w:rPr>
          <w:rFonts w:asciiTheme="minorHAnsi" w:hAnsiTheme="minorHAnsi"/>
        </w:rPr>
        <w:t xml:space="preserve"> </w:t>
      </w:r>
      <w:r w:rsidR="00154512">
        <w:rPr>
          <w:rFonts w:asciiTheme="minorHAnsi" w:hAnsiTheme="minorHAnsi"/>
        </w:rPr>
        <w:t>kn odnosno za 183,8% više nego 2016.godine.</w:t>
      </w:r>
    </w:p>
    <w:p w:rsidR="00535D92" w:rsidRDefault="00535D92" w:rsidP="002734C1">
      <w:pPr>
        <w:jc w:val="both"/>
        <w:rPr>
          <w:rFonts w:asciiTheme="minorHAnsi" w:hAnsiTheme="minorHAnsi"/>
        </w:rPr>
      </w:pPr>
    </w:p>
    <w:p w:rsidR="00535D92" w:rsidRDefault="00535D92" w:rsidP="002734C1">
      <w:pPr>
        <w:jc w:val="both"/>
        <w:rPr>
          <w:rFonts w:asciiTheme="minorHAnsi" w:hAnsiTheme="minorHAnsi"/>
        </w:rPr>
      </w:pPr>
    </w:p>
    <w:tbl>
      <w:tblPr>
        <w:tblW w:w="9430" w:type="dxa"/>
        <w:tblInd w:w="96" w:type="dxa"/>
        <w:tblLook w:val="04A0"/>
      </w:tblPr>
      <w:tblGrid>
        <w:gridCol w:w="1131"/>
        <w:gridCol w:w="6720"/>
        <w:gridCol w:w="1579"/>
      </w:tblGrid>
      <w:tr w:rsidR="00807679" w:rsidRPr="00807679" w:rsidTr="00807679">
        <w:trPr>
          <w:trHeight w:val="30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Knjiženo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4.privr.situacija (izgr.vodoopskrbnog cjevovoda u Željezničkoj ulici i ulici Ledine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7.852,00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3.privr.situacaija (izgr.vodoopskrbnog cjevovoda u ulici Put sv.Jurja u K.Starom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116.336,29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3.privr.situacija (stručni nadzor nad izgr.vodoopskrbr u Putu sv.Jurja u K.Starom)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5.923,13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4.privr.situacija-stručni nadzor (izgradnja vodoopskrbe u Željezničkoj i ulici Ledine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399,75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19.1.2017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4.privr.situacija-stručni nadzor (izgradnja vodoopskrbe i javne rasvijete u ulici Radun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2.688,23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23.1.2017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Vodni doprinos za reciklažno dvorište  na k.č.1049/1 K.O.K.Novi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5.697,28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23.2.2017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(radovi na izgradnji vodoopskrbnog cjevovoda u ulici Put Zabić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366.145,13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6.3.2017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(izgradnja vodoopskrbnog cjevovoda u Željezničkoj i ulici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32.297,89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7.3.2017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(stručni nadzor nad izgr.vodoopskrbe u Željezničkoj  i ulici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3.659,25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4.5.2017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(radovi na građevini (reciklažno dvorište) u Rudinama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543.343,84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8.6.2017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Komunalni doprinos za zgradu Mjesnog odbora u Radunu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3.314,70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20.6.2017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(izgr.fekalne kanalizacije u ograncima koji se spajaju na Put sv.Lovre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209.955,31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1.7.2017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Zasijecanje i pilanje asfaltnog zastora (vodovodni ogranak u ulici Put Ključanica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625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1.7.2017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(radovi na izgradnji vodoopskrbnog cjevovoda u ulici Put Zabic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135.880,00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1.7.2017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stručno-obračunskog nadzora u uluci Put Žabic u K.Novom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31.250,00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1.7.2017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(izvođenje radovana građevini reciklažno dvorište u Rudinama)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399.847,81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4.7.2017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(radovi u ulici Put Žabic-K.Novi) 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267.534,70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11.8.2017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(izgradnja zgrade MO Radun na č.z.1284/5 K.O.K.Stari)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121.526,93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16.8.2017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Izvedba vodovodnog priključka na č.z.1284/5 K.O.K.Stari (MO Radun)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3.581,48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16.8.2017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Priklučak el.energije na gradilište u K.Starom na č.z.1284/5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1.201,77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21.8.2017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(usluga stručnog nadzora i koordinatora II (zgrada MO Radun)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7.017,49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25.8.2017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(stručni nadzor nad radovima izgradnje vodoopskrbe i javne rasvijete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82,13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28.8.2017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(uređenje ulice i izgradnja vodoopskrbe ulice Gospe od Stomorije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327.943,26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31.8.2017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(izgradnja vodoopskrbnog cjevovoda i javne rasvijete u ulici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16.020,19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11.9.2017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(izgr.zgrade MO Radun na k.č.z.1284/5 K.O.Stari)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140.271,48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13.9.2017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Vodovodni priključak  (poslovna građevina na č.zem/zgr 1049/1 K.O.K.Novi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1.263,75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13.9.2017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Vodovodni priključak  (poslovna građevina -PPH na č.zem./zgr.1049/1 K.O.K.Novi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21.937,48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19.9.2017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2.privremena situacija (poslovi stručnog nadzora i koordinatora II-zgrada MO Radun)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8.099,88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1.privr.sit.-okoliš crkve Kraljice Mučenika u Radunu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248.860,88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(izgradnja vodoopskrbnog cjevovoda u ulici Put sv.Jurja u K.Starom)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130.697,16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stručnog nadzora nad izgradnjom fekalne kanalizacije (Ulica Put sv.Lovre)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situacija-vodoops.cjevovod Ulica Put Žabic-K.Novi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67.020,11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(izgradnja kolektora fekalne kanalizacije u K.Sućurcu)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272.851,94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3.privr.situacija (radovi na građevini reciklažno dvorište u Rudinama)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423.648,60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Vodoopskrbni cjevovod Ulica Bufaline II K.Novi-1.P.S.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199.519,70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Okončana situacija</w:t>
            </w:r>
            <w:r w:rsidR="0001548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(izgradnja fekalne kanaliz.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u ograncima koji se spajaju na Put sv.Lovre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144.446,09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Priključal na el. mrežu čz 1284/5 K.Stari           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12.420,00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stručnog nadzora ulice Put Žabic             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24.375,00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1.priv.sit.-okoliš crkve Kraljice Mučenika u Radunu 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2.343,75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3.privr.situacija (stručni nadzor nad zgradom MO Radun)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11.111,33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(stručni nadzor nad radovima izgradnje vodoopskrbe u Putu sv.Jurja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6.771,60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31.10.2017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(uređenje okoliša crkve Kraljice Mučenika u Radunu i sanacija dijela ulice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201.642,85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(usluga nadzora nad radovima reciklažnog dvorišta u Rudinama)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37.500,00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17.11.2017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3.privr.situacija (izgradnja MO Radun na č.z.1284/5 K.O.K.Stari)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192.422,99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17.11.2017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(stručni nadzor nad uređenjem okoliša crkve Kraljice Mučenika u Radunu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2.343,75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23.11.2017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4.privr.situacija (izgradnja zgrade MO Radun na č.z.1284/5 K.O.K.Stari)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108.129,93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30.11.2017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Vodni doprinos za građevinu MO Radun, K.Stari na k.č.1284/5 K.O.K.Stari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1.090,17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Kameni stolovi za tržnicu u K.Sućurcu               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80.918,75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č.zem.19/1, č.zgr.32/2 i i č.zgr.33 sve u K.O.K.Lukšić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496.000,00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22.12.2017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5.privr.situacija (izgradnja MO Radun na č.zem.1284/5 K.O.K.Stari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273.434,09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4.privr.situacija (izvođenje radova na građevini Reciklažno dvorište u Rudinama)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235.504,01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(izgradnja kolektora fekalne kanalizacije u K.Sućurcu)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123.597,46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nadzora (rekonstrukcija ulice dr.Franje Tuđmana, dionica Gospica-Dom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12.250,00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nadzora (reciklažno dvorište u Rudinama)Okončana situacija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01548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3.privr.situacija (uređenje okoliša i pristupa crkvi Kraljice Mučenika u Radunu i sanacija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347.108,51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Spajanje istoćnog ogranka ulice na vodoopskrbni cjevovod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1.061,50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Izmještanje postojećeg hiranta u K.Starom                                 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6.118,44</w:t>
            </w:r>
          </w:p>
        </w:tc>
      </w:tr>
      <w:tr w:rsidR="00807679" w:rsidRPr="00807679" w:rsidTr="00807679">
        <w:trPr>
          <w:trHeight w:val="30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SUMA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6.461.884,76</w:t>
            </w:r>
          </w:p>
        </w:tc>
      </w:tr>
    </w:tbl>
    <w:p w:rsidR="00154512" w:rsidRPr="00807679" w:rsidRDefault="00154512" w:rsidP="002734C1">
      <w:pPr>
        <w:jc w:val="both"/>
        <w:rPr>
          <w:rFonts w:asciiTheme="minorHAnsi" w:hAnsiTheme="minorHAnsi"/>
          <w:sz w:val="18"/>
          <w:szCs w:val="18"/>
        </w:rPr>
      </w:pPr>
    </w:p>
    <w:p w:rsidR="00807679" w:rsidRDefault="00807679" w:rsidP="002734C1">
      <w:pPr>
        <w:jc w:val="both"/>
        <w:rPr>
          <w:rFonts w:asciiTheme="minorHAnsi" w:hAnsiTheme="minorHAnsi"/>
        </w:rPr>
      </w:pPr>
    </w:p>
    <w:p w:rsidR="00154512" w:rsidRDefault="00D80D23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Nematerijalna proizvedena imovina AOP 382 ostvareno je u iznosu od 199.500 kn što je za 360,2% više nego prošle godine</w:t>
      </w:r>
      <w:r w:rsidR="003A02E9">
        <w:rPr>
          <w:rFonts w:asciiTheme="minorHAnsi" w:hAnsiTheme="minorHAnsi"/>
        </w:rPr>
        <w:t xml:space="preserve"> zbog izrade prostornih planova.</w:t>
      </w:r>
    </w:p>
    <w:p w:rsidR="00D80D23" w:rsidRPr="003466C3" w:rsidRDefault="00D80D23" w:rsidP="002734C1">
      <w:pPr>
        <w:jc w:val="both"/>
        <w:rPr>
          <w:rFonts w:asciiTheme="minorHAnsi" w:hAnsiTheme="minorHAnsi"/>
        </w:rPr>
      </w:pPr>
    </w:p>
    <w:p w:rsidR="00525A7F" w:rsidRDefault="00934927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Rashodi za dodatna ulaganja n</w:t>
      </w:r>
      <w:r w:rsidR="00257C2F">
        <w:rPr>
          <w:rFonts w:asciiTheme="minorHAnsi" w:hAnsiTheme="minorHAnsi"/>
        </w:rPr>
        <w:t>a nefinancijskoj imovini AOP 393 ostvarena su u iznosu do 7</w:t>
      </w:r>
      <w:r w:rsidRPr="003466C3">
        <w:rPr>
          <w:rFonts w:asciiTheme="minorHAnsi" w:hAnsiTheme="minorHAnsi"/>
        </w:rPr>
        <w:t>.</w:t>
      </w:r>
      <w:r w:rsidR="00257C2F">
        <w:rPr>
          <w:rFonts w:asciiTheme="minorHAnsi" w:hAnsiTheme="minorHAnsi"/>
        </w:rPr>
        <w:t>518</w:t>
      </w:r>
      <w:r w:rsidRPr="003466C3">
        <w:rPr>
          <w:rFonts w:asciiTheme="minorHAnsi" w:hAnsiTheme="minorHAnsi"/>
        </w:rPr>
        <w:t>.</w:t>
      </w:r>
      <w:r w:rsidR="00257C2F">
        <w:rPr>
          <w:rFonts w:asciiTheme="minorHAnsi" w:hAnsiTheme="minorHAnsi"/>
        </w:rPr>
        <w:t>215 kn što je za 12</w:t>
      </w:r>
      <w:r w:rsidRPr="003466C3">
        <w:rPr>
          <w:rFonts w:asciiTheme="minorHAnsi" w:hAnsiTheme="minorHAnsi"/>
        </w:rPr>
        <w:t>,</w:t>
      </w:r>
      <w:r w:rsidR="00257C2F">
        <w:rPr>
          <w:rFonts w:asciiTheme="minorHAnsi" w:hAnsiTheme="minorHAnsi"/>
        </w:rPr>
        <w:t>6</w:t>
      </w:r>
      <w:r w:rsidRPr="003466C3">
        <w:rPr>
          <w:rFonts w:asciiTheme="minorHAnsi" w:hAnsiTheme="minorHAnsi"/>
        </w:rPr>
        <w:t>% više nego prošle godine.</w:t>
      </w:r>
      <w:r w:rsidR="007E6CD4" w:rsidRPr="003466C3">
        <w:rPr>
          <w:rFonts w:asciiTheme="minorHAnsi" w:hAnsiTheme="minorHAnsi"/>
        </w:rPr>
        <w:t xml:space="preserve"> U nastavku slijedi spisak rashoda:</w:t>
      </w:r>
    </w:p>
    <w:p w:rsidR="00535D92" w:rsidRDefault="00535D92" w:rsidP="003466C3">
      <w:pPr>
        <w:jc w:val="both"/>
        <w:rPr>
          <w:rFonts w:asciiTheme="minorHAnsi" w:hAnsiTheme="minorHAnsi"/>
        </w:rPr>
      </w:pPr>
    </w:p>
    <w:tbl>
      <w:tblPr>
        <w:tblW w:w="9430" w:type="dxa"/>
        <w:tblInd w:w="96" w:type="dxa"/>
        <w:tblLook w:val="04A0"/>
      </w:tblPr>
      <w:tblGrid>
        <w:gridCol w:w="1137"/>
        <w:gridCol w:w="6706"/>
        <w:gridCol w:w="1587"/>
      </w:tblGrid>
      <w:tr w:rsidR="00807679" w:rsidRPr="00807679" w:rsidTr="00807679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Knjiženo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Elaborat iskoličenja  (rekonstrukcija ulice od Gospice do Doma zdravlja u K.Sućurcu)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8.750,00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stručnog nadzora nada radovima ulice Put sv.Lovre u K.Lukšiću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27.772,88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6.A privr.situacija  (rekonstrukcije ulice Put sv.Lovre u K.Lukšiću)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603.357,16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6.A privr.situacija  (rekonstrukcije ulice Put sv.Lovre u K.Lukšiću)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5.143,12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zbog PDV-a                            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0,01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stručnog nadzora nad radovima rekonstrukcije ulice Put sv.Lovre u K.Lukšiću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36.326,61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10.3.2017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7.A privr.situacija (rekonstrukcija ulice Put sv.Lovre u K.Lukšiću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812.747,61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10.3.2017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7.A privr.situacija (rekonstrukcija ulice Put sv.Lovre u K.Lukšiću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130.655,98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Ugradnja betonske galanterije  u ulici Put sv.Lovre 35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Usluga stručnog nad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zora nad radovima rekonstrukc.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ulice Put sv.Lovre u K.Lukšiću - PS 7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24.179,48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Klima uređaj  MISUBISHI ELETRIC  (vanjska i unutarnje jedinice)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15.746,25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10.4.2017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8.A privr.situacija (rekonstr.ulice Put sv.Lovre u K.Lukšiću)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648.082,68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10.4.2017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8.A privr.situacija (rekonstr.ulice Put sv.Lovre u K.Lukšiću)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34.326,69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18.4.2017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.privr.situacija (rekonstr.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ceste dr.F.Tuđmana sa oborinsk.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odvodnjom dionica Gospica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272.536,59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26.5.2017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(uređenje ulice Bojišće u K.Starom)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316.806,08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30.5.2017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(rekonstrukcija ceste dr.F.Tuđmana, dionica Mrtvenice-Gospica,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420.004,80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31.5.2017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Usluga  stručnog nad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zora nad radovima rekonstrukc.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ulice Put sv.Lovre u K.Lukšiću 8. 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ps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25.083,08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8.6.2017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9.A privr.situacija (rekonstrukcija ulice Put sv.Lovre u K.Lukšiću)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634.590,76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8.6.2017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9.A privr.situacija (rekonstrukcija ulice Put sv.Lovre u K.Lukšiću)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88.847,78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10.7.2017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10.A privremena situacija (rekonstrukcija ulice Put sv.Lovre u K.Lukšiću)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83.720,98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10.7.2017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10.A privremena situacija (rekonstrukcija ulice Put sv.Lovre u K.Lukšiću)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4.049,94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14.7.2017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Izrada rampe za invalide uz osnovnu školu       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80.421,70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26.7.2017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Sanacija obalne šetnice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u K. Starom(kamberovo šet.) i K. Lukšiću (šeta.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Miljenka i Dobrile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614.285,33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27.7.2017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(uređenje ulice Bojišće u K.Starom)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522.932,50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31.7.2017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A.situacija (rekonstrukcija ulice Put sv.Lovre u K.Lukšiću)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6.166,91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31.7.2017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A.situacija (rekonstrukcija ulice Put sv.Lovre u K.Lukšiću)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7.347,34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8.8.2017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.privr.situacija (rekonstrukc.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ceste dr.F.Tuđmana sa oborinskom odvodnjom, Mrtvenice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453.843,58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16.8.2017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Rekonstrukcija lifta u zgradi gradske uprave u K.Sućurcu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99.887,50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22.8.2017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(stručni nadzor nad radovima rekonstrukcije ulice Put sv.Lovre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4.152,30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28.8.2017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1.privr.situacija (uređenje ulice i izgradnja vodoopskrbe ulice Gospe od Stomorije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483.059,55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30.8.2017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Dijelovi za računalo (računalo gosp.A.Petrušića)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1.317,75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31.8.2017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(izgradnja vodoopskrbnog cjevovoda i javne rasvijete u ulici Raduna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2.250,00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Memorija, adapteri i SSS Samsung                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2.785,10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1.privr.sit.-okoliš crkve Kraljice Mučenika u Radunu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12.953,63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1.privr.sit.-okoliš crkve Kraljice Mučenika u Radunu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Oprema za server salu                           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3.250,00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Nabava materijala za server salu (letve, paneli, polica)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1.432,50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1.priv.sit.-okoliš crkve Kraljice Mučenika u Radunu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781,25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Nadogradnja aplikacije Legalizacija objekata    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31.10.2017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(uređenje okoliša crkve Kraljice Mučenika u Radunu i sanacija dijela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67.214,29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6.11.2017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Server sala (RAM memorija, spojnica te mini-GBC SFP)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9.757,50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13.11.2017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situcija (usluge nadzora nad uređenjem ulice Bojišće u K.Starom)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21.000,00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17.11.2017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2.privr.situacija (stručni nadzor nad uređenjem okoliša crkve Kraljice Mučenika u Radunu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781,25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11.12.2017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Okončana situacija (uređenje ulice Bojišće u K.Starom)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70.417,46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28.12.2017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.privr.situacija (rekons.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ceste</w:t>
            </w:r>
            <w:r w:rsidR="0039520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dr.Franje Tuđmana sa oborin. odvodnjom, </w:t>
            </w: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Mrtvenice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604.246,46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29.12.2017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Usluga nadzora (rekonstrukcija ulice dr.Franje tuđmana, dionica Gospica-Dom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57.500,00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39520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3.privr.situacija (uređenje okoliša i pristupa crkvi Kraljice Mučenika u Radunu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115.702,84</w:t>
            </w:r>
          </w:p>
        </w:tc>
      </w:tr>
      <w:tr w:rsidR="00807679" w:rsidRPr="00807679" w:rsidTr="00807679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SUMA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7.518.215,22</w:t>
            </w:r>
          </w:p>
        </w:tc>
      </w:tr>
    </w:tbl>
    <w:p w:rsidR="00807679" w:rsidRPr="00807679" w:rsidRDefault="00807679" w:rsidP="003466C3">
      <w:pPr>
        <w:jc w:val="both"/>
        <w:rPr>
          <w:rFonts w:asciiTheme="minorHAnsi" w:hAnsiTheme="minorHAnsi"/>
          <w:sz w:val="18"/>
          <w:szCs w:val="18"/>
        </w:rPr>
      </w:pPr>
    </w:p>
    <w:p w:rsidR="00257C2F" w:rsidRDefault="00257C2F" w:rsidP="003466C3">
      <w:pPr>
        <w:jc w:val="both"/>
        <w:rPr>
          <w:rFonts w:asciiTheme="minorHAnsi" w:hAnsiTheme="minorHAnsi"/>
        </w:rPr>
      </w:pPr>
    </w:p>
    <w:p w:rsidR="00536C81" w:rsidRPr="003466C3" w:rsidRDefault="00536C81">
      <w:pPr>
        <w:rPr>
          <w:rFonts w:asciiTheme="minorHAnsi" w:hAnsiTheme="minorHAnsi"/>
        </w:rPr>
      </w:pPr>
    </w:p>
    <w:p w:rsidR="0060557E" w:rsidRPr="003466C3" w:rsidRDefault="00907A51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Bilješka br.5</w:t>
      </w:r>
      <w:r w:rsidR="0060557E" w:rsidRPr="003466C3">
        <w:rPr>
          <w:rFonts w:asciiTheme="minorHAnsi" w:hAnsiTheme="minorHAnsi"/>
        </w:rPr>
        <w:t xml:space="preserve"> IZDACI ZA FINANCIJSKU IMOVINU I OTPLATE ZAJMOVA</w:t>
      </w:r>
    </w:p>
    <w:p w:rsidR="0060557E" w:rsidRPr="003466C3" w:rsidRDefault="0060557E">
      <w:pPr>
        <w:rPr>
          <w:rFonts w:asciiTheme="minorHAnsi" w:hAnsiTheme="minorHAnsi"/>
        </w:rPr>
      </w:pPr>
    </w:p>
    <w:p w:rsidR="00A452E0" w:rsidRPr="003466C3" w:rsidRDefault="00A452E0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Izdaci za financijsku imovinu</w:t>
      </w:r>
      <w:r w:rsidR="004D7A9C">
        <w:rPr>
          <w:rFonts w:asciiTheme="minorHAnsi" w:hAnsiTheme="minorHAnsi"/>
        </w:rPr>
        <w:t xml:space="preserve"> i otplate zajmov</w:t>
      </w:r>
      <w:r w:rsidR="006C6747">
        <w:rPr>
          <w:rFonts w:asciiTheme="minorHAnsi" w:hAnsiTheme="minorHAnsi"/>
        </w:rPr>
        <w:t>a AOP 518</w:t>
      </w:r>
      <w:r w:rsidRPr="003466C3">
        <w:rPr>
          <w:rFonts w:asciiTheme="minorHAnsi" w:hAnsiTheme="minorHAnsi"/>
        </w:rPr>
        <w:t xml:space="preserve"> odnose se na leasing za komunalno vozilo –čistilicu za potrebe Vlastitog pogona</w:t>
      </w:r>
      <w:r w:rsidR="005C30F3">
        <w:rPr>
          <w:rFonts w:asciiTheme="minorHAnsi" w:hAnsiTheme="minorHAnsi"/>
        </w:rPr>
        <w:t xml:space="preserve"> a ostvareni su u iznosu od 33</w:t>
      </w:r>
      <w:r w:rsidR="006C6747">
        <w:rPr>
          <w:rFonts w:asciiTheme="minorHAnsi" w:hAnsiTheme="minorHAnsi"/>
        </w:rPr>
        <w:t>8</w:t>
      </w:r>
      <w:r w:rsidR="00D542F0" w:rsidRPr="003466C3">
        <w:rPr>
          <w:rFonts w:asciiTheme="minorHAnsi" w:hAnsiTheme="minorHAnsi"/>
        </w:rPr>
        <w:t>.</w:t>
      </w:r>
      <w:r w:rsidR="006C6747">
        <w:rPr>
          <w:rFonts w:asciiTheme="minorHAnsi" w:hAnsiTheme="minorHAnsi"/>
        </w:rPr>
        <w:t>613 kn što je za</w:t>
      </w:r>
      <w:r w:rsidR="005C30F3">
        <w:rPr>
          <w:rFonts w:asciiTheme="minorHAnsi" w:hAnsiTheme="minorHAnsi"/>
        </w:rPr>
        <w:t xml:space="preserve"> </w:t>
      </w:r>
      <w:r w:rsidR="006C6747">
        <w:rPr>
          <w:rFonts w:asciiTheme="minorHAnsi" w:hAnsiTheme="minorHAnsi"/>
        </w:rPr>
        <w:t>4</w:t>
      </w:r>
      <w:r w:rsidR="00D542F0" w:rsidRPr="003466C3">
        <w:rPr>
          <w:rFonts w:asciiTheme="minorHAnsi" w:hAnsiTheme="minorHAnsi"/>
        </w:rPr>
        <w:t>,</w:t>
      </w:r>
      <w:r w:rsidR="006C6747">
        <w:rPr>
          <w:rFonts w:asciiTheme="minorHAnsi" w:hAnsiTheme="minorHAnsi"/>
        </w:rPr>
        <w:t>8</w:t>
      </w:r>
      <w:r w:rsidR="00D542F0" w:rsidRPr="003466C3">
        <w:rPr>
          <w:rFonts w:asciiTheme="minorHAnsi" w:hAnsiTheme="minorHAnsi"/>
        </w:rPr>
        <w:t xml:space="preserve">% </w:t>
      </w:r>
      <w:r w:rsidR="006C6747">
        <w:rPr>
          <w:rFonts w:asciiTheme="minorHAnsi" w:hAnsiTheme="minorHAnsi"/>
        </w:rPr>
        <w:t>više</w:t>
      </w:r>
      <w:r w:rsidR="00D542F0" w:rsidRPr="003466C3">
        <w:rPr>
          <w:rFonts w:asciiTheme="minorHAnsi" w:hAnsiTheme="minorHAnsi"/>
        </w:rPr>
        <w:t xml:space="preserve"> nego prošle godine.</w:t>
      </w:r>
    </w:p>
    <w:p w:rsidR="00907A51" w:rsidRDefault="00907A51" w:rsidP="003466C3">
      <w:pPr>
        <w:jc w:val="both"/>
        <w:rPr>
          <w:rFonts w:asciiTheme="minorHAnsi" w:hAnsiTheme="minorHAnsi"/>
        </w:rPr>
      </w:pPr>
    </w:p>
    <w:p w:rsidR="00D103D7" w:rsidRDefault="00D103D7" w:rsidP="003466C3">
      <w:pPr>
        <w:jc w:val="both"/>
        <w:rPr>
          <w:rFonts w:asciiTheme="minorHAnsi" w:hAnsiTheme="minorHAnsi"/>
        </w:rPr>
      </w:pPr>
    </w:p>
    <w:p w:rsidR="00D103D7" w:rsidRPr="003466C3" w:rsidRDefault="00D103D7" w:rsidP="003466C3">
      <w:pPr>
        <w:jc w:val="both"/>
        <w:rPr>
          <w:rFonts w:asciiTheme="minorHAnsi" w:hAnsiTheme="minorHAnsi"/>
        </w:rPr>
      </w:pPr>
    </w:p>
    <w:p w:rsidR="00E43A11" w:rsidRPr="003466C3" w:rsidRDefault="00E43A11">
      <w:pPr>
        <w:rPr>
          <w:rFonts w:asciiTheme="minorHAnsi" w:hAnsiTheme="minorHAnsi"/>
        </w:rPr>
      </w:pPr>
    </w:p>
    <w:p w:rsidR="009872FA" w:rsidRPr="003466C3" w:rsidRDefault="009872FA" w:rsidP="009872FA">
      <w:pPr>
        <w:rPr>
          <w:rFonts w:asciiTheme="minorHAnsi" w:hAnsiTheme="minorHAnsi"/>
          <w:b/>
          <w:u w:val="single"/>
        </w:rPr>
      </w:pPr>
      <w:r w:rsidRPr="003466C3">
        <w:rPr>
          <w:rFonts w:asciiTheme="minorHAnsi" w:hAnsiTheme="minorHAnsi"/>
          <w:b/>
          <w:u w:val="single"/>
        </w:rPr>
        <w:t>II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Pr="003466C3">
        <w:rPr>
          <w:rFonts w:asciiTheme="minorHAnsi" w:hAnsiTheme="minorHAnsi"/>
          <w:b/>
          <w:u w:val="single"/>
        </w:rPr>
        <w:t xml:space="preserve"> BILJEŠKE UZ OBRAZAC RAS-FUNKCIJSKI</w:t>
      </w:r>
    </w:p>
    <w:p w:rsidR="009872FA" w:rsidRPr="003466C3" w:rsidRDefault="009872FA" w:rsidP="009872FA">
      <w:pPr>
        <w:rPr>
          <w:rFonts w:asciiTheme="minorHAnsi" w:hAnsiTheme="minorHAnsi"/>
          <w:u w:val="single"/>
        </w:rPr>
      </w:pPr>
    </w:p>
    <w:p w:rsidR="00244EFA" w:rsidRDefault="00777859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hr-HR"/>
        </w:rPr>
        <w:drawing>
          <wp:inline distT="0" distB="0" distL="0" distR="0">
            <wp:extent cx="5760720" cy="9625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859" w:rsidRPr="003466C3" w:rsidRDefault="00777859">
      <w:pPr>
        <w:rPr>
          <w:rFonts w:asciiTheme="minorHAnsi" w:hAnsiTheme="minorHAnsi"/>
        </w:rPr>
      </w:pPr>
    </w:p>
    <w:p w:rsidR="00A50D13" w:rsidRDefault="009872FA" w:rsidP="003466C3">
      <w:pPr>
        <w:jc w:val="both"/>
        <w:rPr>
          <w:rFonts w:asciiTheme="minorHAnsi" w:hAnsiTheme="minorHAnsi"/>
        </w:rPr>
      </w:pPr>
      <w:r w:rsidRPr="00A50D13">
        <w:rPr>
          <w:rFonts w:asciiTheme="minorHAnsi" w:hAnsiTheme="minorHAnsi"/>
        </w:rPr>
        <w:lastRenderedPageBreak/>
        <w:t>Opće javne usluge AOP</w:t>
      </w:r>
      <w:r w:rsidR="00B76E34" w:rsidRPr="00A50D13">
        <w:rPr>
          <w:rFonts w:asciiTheme="minorHAnsi" w:hAnsiTheme="minorHAnsi"/>
        </w:rPr>
        <w:t xml:space="preserve"> 001 ostva</w:t>
      </w:r>
      <w:r w:rsidR="00A50D13" w:rsidRPr="00A50D13">
        <w:rPr>
          <w:rFonts w:asciiTheme="minorHAnsi" w:hAnsiTheme="minorHAnsi"/>
        </w:rPr>
        <w:t>rene su</w:t>
      </w:r>
      <w:r w:rsidR="00B76E34" w:rsidRPr="00A50D13">
        <w:rPr>
          <w:rFonts w:asciiTheme="minorHAnsi" w:hAnsiTheme="minorHAnsi"/>
        </w:rPr>
        <w:t xml:space="preserve"> u iznosu od 21</w:t>
      </w:r>
      <w:r w:rsidRPr="00A50D13">
        <w:rPr>
          <w:rFonts w:asciiTheme="minorHAnsi" w:hAnsiTheme="minorHAnsi"/>
        </w:rPr>
        <w:t>.</w:t>
      </w:r>
      <w:r w:rsidR="00B76E34" w:rsidRPr="00A50D13">
        <w:rPr>
          <w:rFonts w:asciiTheme="minorHAnsi" w:hAnsiTheme="minorHAnsi"/>
        </w:rPr>
        <w:t>263</w:t>
      </w:r>
      <w:r w:rsidRPr="00A50D13">
        <w:rPr>
          <w:rFonts w:asciiTheme="minorHAnsi" w:hAnsiTheme="minorHAnsi"/>
        </w:rPr>
        <w:t>.</w:t>
      </w:r>
      <w:r w:rsidR="00B76E34" w:rsidRPr="00A50D13">
        <w:rPr>
          <w:rFonts w:asciiTheme="minorHAnsi" w:hAnsiTheme="minorHAnsi"/>
        </w:rPr>
        <w:t>806 kn što je za 3</w:t>
      </w:r>
      <w:r w:rsidRPr="00A50D13">
        <w:rPr>
          <w:rFonts w:asciiTheme="minorHAnsi" w:hAnsiTheme="minorHAnsi"/>
        </w:rPr>
        <w:t>,</w:t>
      </w:r>
      <w:r w:rsidR="00B76E34" w:rsidRPr="00A50D13">
        <w:rPr>
          <w:rFonts w:asciiTheme="minorHAnsi" w:hAnsiTheme="minorHAnsi"/>
        </w:rPr>
        <w:t>2</w:t>
      </w:r>
      <w:r w:rsidRPr="00A50D13">
        <w:rPr>
          <w:rFonts w:asciiTheme="minorHAnsi" w:hAnsiTheme="minorHAnsi"/>
        </w:rPr>
        <w:t xml:space="preserve">% </w:t>
      </w:r>
      <w:r w:rsidR="00B76E34" w:rsidRPr="00A50D13">
        <w:rPr>
          <w:rFonts w:asciiTheme="minorHAnsi" w:hAnsiTheme="minorHAnsi"/>
        </w:rPr>
        <w:t>više nego 2016</w:t>
      </w:r>
      <w:r w:rsidRPr="00A50D13">
        <w:rPr>
          <w:rFonts w:asciiTheme="minorHAnsi" w:hAnsiTheme="minorHAnsi"/>
        </w:rPr>
        <w:t xml:space="preserve">.godine iz razloga </w:t>
      </w:r>
      <w:r w:rsidR="00A50D13" w:rsidRPr="00A50D13">
        <w:rPr>
          <w:rFonts w:asciiTheme="minorHAnsi" w:hAnsiTheme="minorHAnsi"/>
        </w:rPr>
        <w:t>ostvarenih rashoda povezanih sa izborima</w:t>
      </w:r>
      <w:r w:rsidR="00A50D13">
        <w:rPr>
          <w:rFonts w:asciiTheme="minorHAnsi" w:hAnsiTheme="minorHAnsi"/>
        </w:rPr>
        <w:t>, izgubljenim sudskim sporovima..</w:t>
      </w:r>
      <w:r w:rsidR="00A50D13" w:rsidRPr="00A50D13">
        <w:rPr>
          <w:rFonts w:asciiTheme="minorHAnsi" w:hAnsiTheme="minorHAnsi"/>
        </w:rPr>
        <w:t>.</w:t>
      </w:r>
    </w:p>
    <w:p w:rsidR="00A50D13" w:rsidRDefault="00A50D13" w:rsidP="003466C3">
      <w:pPr>
        <w:jc w:val="both"/>
        <w:rPr>
          <w:rFonts w:asciiTheme="minorHAnsi" w:hAnsiTheme="minorHAnsi"/>
        </w:rPr>
      </w:pPr>
    </w:p>
    <w:p w:rsidR="00A50D13" w:rsidRDefault="00A50D13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Jani red i sigurnost AOP 024 ostvareno je 2.958.794 kn odnosno 21,5% više nego 2016. godine i to zbog većih izdataka Vatrogasnoj </w:t>
      </w:r>
      <w:r w:rsidR="0008319D">
        <w:rPr>
          <w:rFonts w:asciiTheme="minorHAnsi" w:hAnsiTheme="minorHAnsi"/>
        </w:rPr>
        <w:t>zajednici te Gorskoj službi spaš</w:t>
      </w:r>
      <w:r>
        <w:rPr>
          <w:rFonts w:asciiTheme="minorHAnsi" w:hAnsiTheme="minorHAnsi"/>
        </w:rPr>
        <w:t>avanja.</w:t>
      </w:r>
    </w:p>
    <w:p w:rsidR="00A50D13" w:rsidRPr="00A50D13" w:rsidRDefault="00A50D13" w:rsidP="003466C3">
      <w:pPr>
        <w:jc w:val="both"/>
        <w:rPr>
          <w:rFonts w:asciiTheme="minorHAnsi" w:hAnsiTheme="minorHAnsi"/>
        </w:rPr>
      </w:pPr>
    </w:p>
    <w:p w:rsidR="009872FA" w:rsidRDefault="009872FA" w:rsidP="003466C3">
      <w:pPr>
        <w:jc w:val="both"/>
        <w:rPr>
          <w:rFonts w:asciiTheme="minorHAnsi" w:hAnsiTheme="minorHAnsi"/>
          <w:color w:val="FF0000"/>
        </w:rPr>
      </w:pPr>
      <w:r w:rsidRPr="003466C3">
        <w:rPr>
          <w:rFonts w:asciiTheme="minorHAnsi" w:hAnsiTheme="minorHAnsi"/>
        </w:rPr>
        <w:t>Ekonomski poslovi AOP 031</w:t>
      </w:r>
      <w:r w:rsidR="00B76E34">
        <w:rPr>
          <w:rFonts w:asciiTheme="minorHAnsi" w:hAnsiTheme="minorHAnsi"/>
        </w:rPr>
        <w:t xml:space="preserve"> ostvareni su u iznosu od 10</w:t>
      </w:r>
      <w:r w:rsidRPr="003466C3">
        <w:rPr>
          <w:rFonts w:asciiTheme="minorHAnsi" w:hAnsiTheme="minorHAnsi"/>
        </w:rPr>
        <w:t>.</w:t>
      </w:r>
      <w:r w:rsidR="00B76E34">
        <w:rPr>
          <w:rFonts w:asciiTheme="minorHAnsi" w:hAnsiTheme="minorHAnsi"/>
        </w:rPr>
        <w:t>272</w:t>
      </w:r>
      <w:r w:rsidRPr="003466C3">
        <w:rPr>
          <w:rFonts w:asciiTheme="minorHAnsi" w:hAnsiTheme="minorHAnsi"/>
        </w:rPr>
        <w:t>.</w:t>
      </w:r>
      <w:r w:rsidR="00B76E34">
        <w:rPr>
          <w:rFonts w:asciiTheme="minorHAnsi" w:hAnsiTheme="minorHAnsi"/>
        </w:rPr>
        <w:t>104 što je za 39</w:t>
      </w:r>
      <w:r w:rsidRPr="003466C3">
        <w:rPr>
          <w:rFonts w:asciiTheme="minorHAnsi" w:hAnsiTheme="minorHAnsi"/>
        </w:rPr>
        <w:t>,</w:t>
      </w:r>
      <w:r w:rsidR="00B76E34">
        <w:rPr>
          <w:rFonts w:asciiTheme="minorHAnsi" w:hAnsiTheme="minorHAnsi"/>
        </w:rPr>
        <w:t>3</w:t>
      </w:r>
      <w:r w:rsidRPr="003466C3">
        <w:rPr>
          <w:rFonts w:asciiTheme="minorHAnsi" w:hAnsiTheme="minorHAnsi"/>
        </w:rPr>
        <w:t>% više nego prošle godine.</w:t>
      </w:r>
      <w:r w:rsidR="00697CA3" w:rsidRPr="003466C3">
        <w:rPr>
          <w:rFonts w:asciiTheme="minorHAnsi" w:hAnsiTheme="minorHAnsi"/>
        </w:rPr>
        <w:t xml:space="preserve"> Razlog povećanja je zbog većih ulaganja u cestovni promet AOP 051</w:t>
      </w:r>
      <w:r w:rsidR="00B76E34">
        <w:rPr>
          <w:rFonts w:asciiTheme="minorHAnsi" w:hAnsiTheme="minorHAnsi"/>
        </w:rPr>
        <w:t xml:space="preserve"> </w:t>
      </w:r>
      <w:r w:rsidR="00807679">
        <w:rPr>
          <w:rFonts w:asciiTheme="minorHAnsi" w:hAnsiTheme="minorHAnsi"/>
        </w:rPr>
        <w:t>sa ostvarenje</w:t>
      </w:r>
      <w:r w:rsidR="0008319D">
        <w:rPr>
          <w:rFonts w:asciiTheme="minorHAnsi" w:hAnsiTheme="minorHAnsi"/>
        </w:rPr>
        <w:t>m</w:t>
      </w:r>
      <w:r w:rsidR="00807679">
        <w:rPr>
          <w:rFonts w:asciiTheme="minorHAnsi" w:hAnsiTheme="minorHAnsi"/>
        </w:rPr>
        <w:t xml:space="preserve"> od 8.071.853 kn </w:t>
      </w:r>
      <w:r w:rsidR="00697CA3" w:rsidRPr="003466C3">
        <w:rPr>
          <w:rFonts w:asciiTheme="minorHAnsi" w:hAnsiTheme="minorHAnsi"/>
        </w:rPr>
        <w:t xml:space="preserve">što je </w:t>
      </w:r>
      <w:r w:rsidR="0008319D">
        <w:rPr>
          <w:rFonts w:asciiTheme="minorHAnsi" w:hAnsiTheme="minorHAnsi"/>
        </w:rPr>
        <w:t>ost</w:t>
      </w:r>
      <w:r w:rsidR="00807679">
        <w:rPr>
          <w:rFonts w:asciiTheme="minorHAnsi" w:hAnsiTheme="minorHAnsi"/>
        </w:rPr>
        <w:t>v</w:t>
      </w:r>
      <w:r w:rsidR="0008319D">
        <w:rPr>
          <w:rFonts w:asciiTheme="minorHAnsi" w:hAnsiTheme="minorHAnsi"/>
        </w:rPr>
        <w:t>a</w:t>
      </w:r>
      <w:r w:rsidR="00807679">
        <w:rPr>
          <w:rFonts w:asciiTheme="minorHAnsi" w:hAnsiTheme="minorHAnsi"/>
        </w:rPr>
        <w:t>renje</w:t>
      </w:r>
      <w:r w:rsidR="00B76E34">
        <w:rPr>
          <w:rFonts w:asciiTheme="minorHAnsi" w:hAnsiTheme="minorHAnsi"/>
        </w:rPr>
        <w:t xml:space="preserve"> za 44</w:t>
      </w:r>
      <w:r w:rsidR="00697CA3" w:rsidRPr="003466C3">
        <w:rPr>
          <w:rFonts w:asciiTheme="minorHAnsi" w:hAnsiTheme="minorHAnsi"/>
        </w:rPr>
        <w:t>,</w:t>
      </w:r>
      <w:r w:rsidR="00B76E34">
        <w:rPr>
          <w:rFonts w:asciiTheme="minorHAnsi" w:hAnsiTheme="minorHAnsi"/>
        </w:rPr>
        <w:t>2</w:t>
      </w:r>
      <w:r w:rsidR="00697CA3" w:rsidRPr="003466C3">
        <w:rPr>
          <w:rFonts w:asciiTheme="minorHAnsi" w:hAnsiTheme="minorHAnsi"/>
        </w:rPr>
        <w:t>% više nego prošle godine. Tu je uključeno evidentiranje kupljene i darovane zemlje kao i veće investicije (rekonstrukcija Ulice Sv.Lovre u Kaštel Lukšiću,</w:t>
      </w:r>
      <w:r w:rsidR="0008319D">
        <w:rPr>
          <w:rFonts w:asciiTheme="minorHAnsi" w:hAnsiTheme="minorHAnsi"/>
        </w:rPr>
        <w:t xml:space="preserve"> ulice Bojišće, dionica p</w:t>
      </w:r>
      <w:r w:rsidR="00963C56">
        <w:rPr>
          <w:rFonts w:asciiTheme="minorHAnsi" w:hAnsiTheme="minorHAnsi"/>
        </w:rPr>
        <w:t>uta Gospinica-Mrtvenice, K.Sućurac,....)</w:t>
      </w:r>
    </w:p>
    <w:p w:rsidR="00807679" w:rsidRDefault="00807679" w:rsidP="003466C3">
      <w:pPr>
        <w:jc w:val="both"/>
        <w:rPr>
          <w:rFonts w:asciiTheme="minorHAnsi" w:hAnsiTheme="minorHAnsi"/>
          <w:color w:val="FF0000"/>
        </w:rPr>
      </w:pPr>
    </w:p>
    <w:tbl>
      <w:tblPr>
        <w:tblW w:w="8919" w:type="dxa"/>
        <w:tblInd w:w="96" w:type="dxa"/>
        <w:tblLook w:val="04A0"/>
      </w:tblPr>
      <w:tblGrid>
        <w:gridCol w:w="774"/>
        <w:gridCol w:w="6751"/>
        <w:gridCol w:w="1394"/>
      </w:tblGrid>
      <w:tr w:rsidR="00807679" w:rsidRPr="00807679" w:rsidTr="00807679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807679" w:rsidRPr="00807679" w:rsidTr="0080767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32271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Službena radna i zaštitna odjeća i obuća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18.018,75</w:t>
            </w:r>
          </w:p>
        </w:tc>
      </w:tr>
      <w:tr w:rsidR="00807679" w:rsidRPr="00807679" w:rsidTr="0080767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32377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 agencija, studentskog servisa (prijepisi, prijevodi i drugo)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51.852,60</w:t>
            </w:r>
          </w:p>
        </w:tc>
      </w:tr>
      <w:tr w:rsidR="00807679" w:rsidRPr="00807679" w:rsidTr="0080767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41112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Građevinsko zemljište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1.257.662,00</w:t>
            </w:r>
          </w:p>
        </w:tc>
      </w:tr>
      <w:tr w:rsidR="00807679" w:rsidRPr="00807679" w:rsidTr="0080767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41261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Ostala nematerijalna imovina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251.687,50</w:t>
            </w:r>
          </w:p>
        </w:tc>
      </w:tr>
      <w:tr w:rsidR="00807679" w:rsidRPr="00807679" w:rsidTr="0080767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45111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Dodatna ulaganja na građevinskim objektima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6.492.632,44</w:t>
            </w:r>
          </w:p>
        </w:tc>
      </w:tr>
      <w:tr w:rsidR="00807679" w:rsidRPr="00807679" w:rsidTr="0080767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807679" w:rsidRPr="00807679" w:rsidRDefault="00807679" w:rsidP="00807679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80767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8.071.853,29</w:t>
            </w:r>
          </w:p>
        </w:tc>
      </w:tr>
    </w:tbl>
    <w:p w:rsidR="00807679" w:rsidRPr="00807679" w:rsidRDefault="00807679" w:rsidP="00807679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</w:p>
    <w:p w:rsidR="00807679" w:rsidRPr="003466C3" w:rsidRDefault="00807679" w:rsidP="003466C3">
      <w:pPr>
        <w:jc w:val="both"/>
        <w:rPr>
          <w:rFonts w:asciiTheme="minorHAnsi" w:hAnsiTheme="minorHAnsi"/>
        </w:rPr>
      </w:pPr>
    </w:p>
    <w:p w:rsidR="00374E99" w:rsidRDefault="00374E99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Ekonomski poslovi koji nisu drugdje svrstani AOP 070 su ostvareni u iznosu do 1.924.591 kn što je 25,9% više nego 2016.godine </w:t>
      </w:r>
      <w:r w:rsidR="004A7DCC">
        <w:rPr>
          <w:rFonts w:asciiTheme="minorHAnsi" w:hAnsiTheme="minorHAnsi"/>
        </w:rPr>
        <w:t>a razlog je u danim kap.pomoćim</w:t>
      </w:r>
      <w:r w:rsidR="00985B2D">
        <w:rPr>
          <w:rFonts w:asciiTheme="minorHAnsi" w:hAnsiTheme="minorHAnsi"/>
        </w:rPr>
        <w:t>a poduzeću</w:t>
      </w:r>
      <w:r w:rsidR="004A7DCC">
        <w:rPr>
          <w:rFonts w:asciiTheme="minorHAnsi" w:hAnsiTheme="minorHAnsi"/>
        </w:rPr>
        <w:t xml:space="preserve"> Zeleno i modro d.o.o. u iznosu od 260.000 kn te povećana eko naknada za odlagalište Karepovac.</w:t>
      </w:r>
    </w:p>
    <w:p w:rsidR="00374E99" w:rsidRDefault="00374E99" w:rsidP="003466C3">
      <w:pPr>
        <w:jc w:val="both"/>
        <w:rPr>
          <w:rFonts w:asciiTheme="minorHAnsi" w:hAnsiTheme="minorHAnsi"/>
        </w:rPr>
      </w:pPr>
    </w:p>
    <w:p w:rsidR="00374E99" w:rsidRDefault="00374E99" w:rsidP="003466C3">
      <w:pPr>
        <w:jc w:val="both"/>
        <w:rPr>
          <w:rFonts w:asciiTheme="minorHAnsi" w:hAnsiTheme="minorHAnsi"/>
        </w:rPr>
      </w:pPr>
    </w:p>
    <w:p w:rsidR="00697CA3" w:rsidRPr="003466C3" w:rsidRDefault="00697CA3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Zaštita okoliša AO</w:t>
      </w:r>
      <w:r w:rsidR="00B04B20">
        <w:rPr>
          <w:rFonts w:asciiTheme="minorHAnsi" w:hAnsiTheme="minorHAnsi"/>
        </w:rPr>
        <w:t>P 071 ostvarena je u iznosu od 2</w:t>
      </w:r>
      <w:r w:rsidRPr="003466C3">
        <w:rPr>
          <w:rFonts w:asciiTheme="minorHAnsi" w:hAnsiTheme="minorHAnsi"/>
        </w:rPr>
        <w:t>.</w:t>
      </w:r>
      <w:r w:rsidR="00B04B20">
        <w:rPr>
          <w:rFonts w:asciiTheme="minorHAnsi" w:hAnsiTheme="minorHAnsi"/>
        </w:rPr>
        <w:t>875</w:t>
      </w:r>
      <w:r w:rsidRPr="003466C3">
        <w:rPr>
          <w:rFonts w:asciiTheme="minorHAnsi" w:hAnsiTheme="minorHAnsi"/>
        </w:rPr>
        <w:t>.</w:t>
      </w:r>
      <w:r w:rsidR="00B04B20">
        <w:rPr>
          <w:rFonts w:asciiTheme="minorHAnsi" w:hAnsiTheme="minorHAnsi"/>
        </w:rPr>
        <w:t>315 kn što je za 77</w:t>
      </w:r>
      <w:r w:rsidRPr="003466C3">
        <w:rPr>
          <w:rFonts w:asciiTheme="minorHAnsi" w:hAnsiTheme="minorHAnsi"/>
        </w:rPr>
        <w:t>,</w:t>
      </w:r>
      <w:r w:rsidR="00B04B20">
        <w:rPr>
          <w:rFonts w:asciiTheme="minorHAnsi" w:hAnsiTheme="minorHAnsi"/>
        </w:rPr>
        <w:t>7</w:t>
      </w:r>
      <w:r w:rsidRPr="003466C3">
        <w:rPr>
          <w:rFonts w:asciiTheme="minorHAnsi" w:hAnsiTheme="minorHAnsi"/>
        </w:rPr>
        <w:t>% više nego lani</w:t>
      </w:r>
      <w:r w:rsidR="00DF74FD" w:rsidRPr="003466C3">
        <w:rPr>
          <w:rFonts w:asciiTheme="minorHAnsi" w:hAnsiTheme="minorHAnsi"/>
        </w:rPr>
        <w:t xml:space="preserve"> zbog </w:t>
      </w:r>
      <w:r w:rsidR="00B04B20">
        <w:rPr>
          <w:rFonts w:asciiTheme="minorHAnsi" w:hAnsiTheme="minorHAnsi"/>
        </w:rPr>
        <w:t>gradnje reciklažnog dvorišta u Rudinama.</w:t>
      </w:r>
    </w:p>
    <w:p w:rsidR="00DF74FD" w:rsidRPr="003466C3" w:rsidRDefault="00DF74FD" w:rsidP="003466C3">
      <w:pPr>
        <w:jc w:val="both"/>
        <w:rPr>
          <w:rFonts w:asciiTheme="minorHAnsi" w:hAnsiTheme="minorHAnsi"/>
        </w:rPr>
      </w:pPr>
    </w:p>
    <w:p w:rsidR="00DF74FD" w:rsidRDefault="00DF74FD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Usluge unapređenja stanovanja i zajednice AOP</w:t>
      </w:r>
      <w:r w:rsidR="007412F3">
        <w:rPr>
          <w:rFonts w:asciiTheme="minorHAnsi" w:hAnsiTheme="minorHAnsi"/>
        </w:rPr>
        <w:t xml:space="preserve"> 078 ostvarene su u iznosu od 29</w:t>
      </w:r>
      <w:r w:rsidRPr="003466C3">
        <w:rPr>
          <w:rFonts w:asciiTheme="minorHAnsi" w:hAnsiTheme="minorHAnsi"/>
        </w:rPr>
        <w:t>.</w:t>
      </w:r>
      <w:r w:rsidR="007412F3">
        <w:rPr>
          <w:rFonts w:asciiTheme="minorHAnsi" w:hAnsiTheme="minorHAnsi"/>
        </w:rPr>
        <w:t>722</w:t>
      </w:r>
      <w:r w:rsidRPr="003466C3">
        <w:rPr>
          <w:rFonts w:asciiTheme="minorHAnsi" w:hAnsiTheme="minorHAnsi"/>
        </w:rPr>
        <w:t>.</w:t>
      </w:r>
      <w:r w:rsidR="007412F3">
        <w:rPr>
          <w:rFonts w:asciiTheme="minorHAnsi" w:hAnsiTheme="minorHAnsi"/>
        </w:rPr>
        <w:t>224 kn što je za 9</w:t>
      </w:r>
      <w:r w:rsidRPr="003466C3">
        <w:rPr>
          <w:rFonts w:asciiTheme="minorHAnsi" w:hAnsiTheme="minorHAnsi"/>
        </w:rPr>
        <w:t>,</w:t>
      </w:r>
      <w:r w:rsidR="007412F3">
        <w:rPr>
          <w:rFonts w:asciiTheme="minorHAnsi" w:hAnsiTheme="minorHAnsi"/>
        </w:rPr>
        <w:t>6</w:t>
      </w:r>
      <w:r w:rsidRPr="003466C3">
        <w:rPr>
          <w:rFonts w:asciiTheme="minorHAnsi" w:hAnsiTheme="minorHAnsi"/>
        </w:rPr>
        <w:t>% više nego prošle godine a iz</w:t>
      </w:r>
      <w:r w:rsidR="007412F3">
        <w:rPr>
          <w:rFonts w:asciiTheme="minorHAnsi" w:hAnsiTheme="minorHAnsi"/>
        </w:rPr>
        <w:t xml:space="preserve"> razloga većeg ulaganja u održavanje nerazvrstanih cesta te izgradnju vodoopskrbnog cjevovoda</w:t>
      </w:r>
      <w:r w:rsidRPr="003466C3">
        <w:rPr>
          <w:rFonts w:asciiTheme="minorHAnsi" w:hAnsiTheme="minorHAnsi"/>
        </w:rPr>
        <w:t>.</w:t>
      </w:r>
    </w:p>
    <w:p w:rsidR="00B25381" w:rsidRDefault="00B25381" w:rsidP="003466C3">
      <w:pPr>
        <w:jc w:val="both"/>
        <w:rPr>
          <w:rFonts w:asciiTheme="minorHAnsi" w:hAnsiTheme="minorHAnsi"/>
        </w:rPr>
      </w:pPr>
    </w:p>
    <w:p w:rsidR="00B25381" w:rsidRDefault="00B25381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Zdra</w:t>
      </w:r>
      <w:r w:rsidR="0035489C">
        <w:rPr>
          <w:rFonts w:asciiTheme="minorHAnsi" w:hAnsiTheme="minorHAnsi"/>
        </w:rPr>
        <w:t>vstvo AOP 085 ostvareno je u iz</w:t>
      </w:r>
      <w:r>
        <w:rPr>
          <w:rFonts w:asciiTheme="minorHAnsi" w:hAnsiTheme="minorHAnsi"/>
        </w:rPr>
        <w:t xml:space="preserve">nosu od 628.250 kn odnosno 17% više nego prošle godine zbog </w:t>
      </w:r>
      <w:r w:rsidR="00985B2D">
        <w:rPr>
          <w:rFonts w:asciiTheme="minorHAnsi" w:hAnsiTheme="minorHAnsi"/>
        </w:rPr>
        <w:t>većih rashoda za</w:t>
      </w:r>
      <w:r>
        <w:rPr>
          <w:rFonts w:asciiTheme="minorHAnsi" w:hAnsiTheme="minorHAnsi"/>
        </w:rPr>
        <w:t xml:space="preserve"> deratizaciju i dezinsekciju.</w:t>
      </w:r>
    </w:p>
    <w:p w:rsidR="00B25381" w:rsidRDefault="00B25381" w:rsidP="003466C3">
      <w:pPr>
        <w:jc w:val="both"/>
        <w:rPr>
          <w:rFonts w:asciiTheme="minorHAnsi" w:hAnsiTheme="minorHAnsi"/>
        </w:rPr>
      </w:pPr>
    </w:p>
    <w:p w:rsidR="00B25381" w:rsidRPr="003466C3" w:rsidRDefault="0035489C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Rekreacija, kultura i rel</w:t>
      </w:r>
      <w:r w:rsidR="00B25381">
        <w:rPr>
          <w:rFonts w:asciiTheme="minorHAnsi" w:hAnsiTheme="minorHAnsi"/>
        </w:rPr>
        <w:t>igija AOP 103 ostvareno je u iznosu od 11.098.138 kn odnosno za 23,7% više nego 2016.godine.</w:t>
      </w:r>
      <w:r w:rsidR="00AE4A01">
        <w:rPr>
          <w:rFonts w:asciiTheme="minorHAnsi" w:hAnsiTheme="minorHAnsi"/>
        </w:rPr>
        <w:t xml:space="preserve"> Razlozi povećanja su veće donacije sportskim društvima, udrugama građana, prebačena EU sredstva u projektu Perpetuum baštine,  veća ulaganja u obnovu spomenika kulture-Kaštilac, otkup kulturnog dobra,....</w:t>
      </w:r>
    </w:p>
    <w:p w:rsidR="00561724" w:rsidRPr="003466C3" w:rsidRDefault="00561724" w:rsidP="003466C3">
      <w:pPr>
        <w:jc w:val="both"/>
        <w:rPr>
          <w:rFonts w:asciiTheme="minorHAnsi" w:hAnsiTheme="minorHAnsi"/>
        </w:rPr>
      </w:pPr>
    </w:p>
    <w:p w:rsidR="00561724" w:rsidRPr="003466C3" w:rsidRDefault="004C74E2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Obrazovanje AO</w:t>
      </w:r>
      <w:r w:rsidR="003C7339">
        <w:rPr>
          <w:rFonts w:asciiTheme="minorHAnsi" w:hAnsiTheme="minorHAnsi"/>
        </w:rPr>
        <w:t xml:space="preserve">P 110 ostvareno je u iznosu od </w:t>
      </w:r>
      <w:r>
        <w:rPr>
          <w:rFonts w:asciiTheme="minorHAnsi" w:hAnsiTheme="minorHAnsi"/>
        </w:rPr>
        <w:t>7</w:t>
      </w:r>
      <w:r w:rsidR="00561724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584</w:t>
      </w:r>
      <w:r w:rsidR="00561724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949 kn što je 1,7</w:t>
      </w:r>
      <w:r w:rsidR="00561724" w:rsidRPr="003466C3">
        <w:rPr>
          <w:rFonts w:asciiTheme="minorHAnsi" w:hAnsiTheme="minorHAnsi"/>
        </w:rPr>
        <w:t xml:space="preserve">% </w:t>
      </w:r>
      <w:r>
        <w:rPr>
          <w:rFonts w:asciiTheme="minorHAnsi" w:hAnsiTheme="minorHAnsi"/>
        </w:rPr>
        <w:t xml:space="preserve">više </w:t>
      </w:r>
      <w:r w:rsidR="00561724" w:rsidRPr="003466C3">
        <w:rPr>
          <w:rFonts w:asciiTheme="minorHAnsi" w:hAnsiTheme="minorHAnsi"/>
        </w:rPr>
        <w:t>nego prošle godin</w:t>
      </w:r>
      <w:r>
        <w:rPr>
          <w:rFonts w:asciiTheme="minorHAnsi" w:hAnsiTheme="minorHAnsi"/>
        </w:rPr>
        <w:t>e zbog većih rashoda za predškolsko obrazovanje</w:t>
      </w:r>
      <w:r w:rsidR="00561724" w:rsidRPr="003466C3">
        <w:rPr>
          <w:rFonts w:asciiTheme="minorHAnsi" w:hAnsiTheme="minorHAnsi"/>
        </w:rPr>
        <w:t>.</w:t>
      </w:r>
    </w:p>
    <w:p w:rsidR="00561724" w:rsidRDefault="00561724" w:rsidP="003466C3">
      <w:pPr>
        <w:jc w:val="both"/>
        <w:rPr>
          <w:rFonts w:asciiTheme="minorHAnsi" w:hAnsiTheme="minorHAnsi"/>
        </w:rPr>
      </w:pPr>
    </w:p>
    <w:p w:rsidR="00931F83" w:rsidRPr="003466C3" w:rsidRDefault="00931F83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Socijalna zaštita AOP 125 ostvareno je u iznosu od 8.935.850 kn odnosno za 3,7% više nego 2016.godine i to zbog podjele Božićnice i nezaposlenim osobama.</w:t>
      </w:r>
    </w:p>
    <w:p w:rsidR="00415F5D" w:rsidRPr="003466C3" w:rsidRDefault="00415F5D" w:rsidP="00415F5D">
      <w:pPr>
        <w:rPr>
          <w:rFonts w:asciiTheme="minorHAnsi" w:hAnsiTheme="minorHAnsi"/>
        </w:rPr>
      </w:pPr>
      <w:r w:rsidRPr="003466C3">
        <w:rPr>
          <w:rFonts w:asciiTheme="minorHAnsi" w:hAnsiTheme="minorHAnsi"/>
          <w:b/>
          <w:u w:val="single"/>
        </w:rPr>
        <w:lastRenderedPageBreak/>
        <w:t xml:space="preserve">III 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Pr="003466C3">
        <w:rPr>
          <w:rFonts w:asciiTheme="minorHAnsi" w:hAnsiTheme="minorHAnsi"/>
          <w:b/>
          <w:u w:val="single"/>
        </w:rPr>
        <w:t>BILJEŠKE UZ OBRAZAC P-VRIO</w:t>
      </w:r>
    </w:p>
    <w:p w:rsidR="00415F5D" w:rsidRPr="003466C3" w:rsidRDefault="00415F5D" w:rsidP="00415F5D">
      <w:pPr>
        <w:rPr>
          <w:rFonts w:asciiTheme="minorHAnsi" w:hAnsiTheme="minorHAnsi"/>
          <w:b/>
          <w:u w:val="single"/>
        </w:rPr>
      </w:pPr>
    </w:p>
    <w:p w:rsidR="005552ED" w:rsidRDefault="00585D94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obrascu P-VRIO evidentirano je sve ono što posljedično ima utjecaj na bilančne stavke.</w:t>
      </w:r>
    </w:p>
    <w:p w:rsidR="00415F5D" w:rsidRDefault="00415F5D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Ovdje se daje pregled otpisa potraživanja i obveza te se objašnjavaju značajne promjene u vrijednosti i obujmu imovine i obveza.</w:t>
      </w:r>
    </w:p>
    <w:p w:rsidR="00B1215C" w:rsidRPr="003466C3" w:rsidRDefault="00B1215C" w:rsidP="003466C3">
      <w:pPr>
        <w:jc w:val="both"/>
        <w:rPr>
          <w:rFonts w:asciiTheme="minorHAnsi" w:hAnsiTheme="minorHAnsi"/>
        </w:rPr>
      </w:pPr>
    </w:p>
    <w:p w:rsidR="00B1215C" w:rsidRPr="003466C3" w:rsidRDefault="00B1215C" w:rsidP="00B1215C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Na AOP 021 – proizvedena dugotrajna imovina evidentiran je rashod osnovnih sredstava  po odluci nakon p</w:t>
      </w:r>
      <w:r>
        <w:rPr>
          <w:rFonts w:asciiTheme="minorHAnsi" w:hAnsiTheme="minorHAnsi"/>
        </w:rPr>
        <w:t>rovedene inventure u iznosu od 12</w:t>
      </w:r>
      <w:r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452</w:t>
      </w:r>
      <w:r w:rsidRPr="003466C3">
        <w:rPr>
          <w:rFonts w:asciiTheme="minorHAnsi" w:hAnsiTheme="minorHAnsi"/>
        </w:rPr>
        <w:t xml:space="preserve"> kn  te </w:t>
      </w:r>
      <w:r>
        <w:rPr>
          <w:rFonts w:asciiTheme="minorHAnsi" w:hAnsiTheme="minorHAnsi"/>
        </w:rPr>
        <w:t>a na AOP 024 isknjiženje dugotrajne nefinancijske imovine u pripremi u iznosu od 72.714 kn</w:t>
      </w:r>
      <w:r w:rsidR="00742463">
        <w:rPr>
          <w:rFonts w:asciiTheme="minorHAnsi" w:hAnsiTheme="minorHAnsi"/>
        </w:rPr>
        <w:t xml:space="preserve"> također po zapisniku inventurne komisije</w:t>
      </w:r>
      <w:r>
        <w:rPr>
          <w:rFonts w:asciiTheme="minorHAnsi" w:hAnsiTheme="minorHAnsi"/>
        </w:rPr>
        <w:t>.</w:t>
      </w:r>
    </w:p>
    <w:p w:rsidR="00953974" w:rsidRDefault="00953974" w:rsidP="003466C3">
      <w:pPr>
        <w:jc w:val="both"/>
        <w:rPr>
          <w:rFonts w:asciiTheme="minorHAnsi" w:hAnsiTheme="minorHAnsi"/>
        </w:rPr>
      </w:pPr>
    </w:p>
    <w:tbl>
      <w:tblPr>
        <w:tblW w:w="9258" w:type="dxa"/>
        <w:tblInd w:w="96" w:type="dxa"/>
        <w:tblLook w:val="04A0"/>
      </w:tblPr>
      <w:tblGrid>
        <w:gridCol w:w="1146"/>
        <w:gridCol w:w="3686"/>
        <w:gridCol w:w="992"/>
        <w:gridCol w:w="1107"/>
        <w:gridCol w:w="1220"/>
        <w:gridCol w:w="1107"/>
      </w:tblGrid>
      <w:tr w:rsidR="00953974" w:rsidRPr="00953974" w:rsidTr="0095397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Knjiženo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Duguje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Saldo</w:t>
            </w:r>
          </w:p>
        </w:tc>
      </w:tr>
      <w:tr w:rsidR="00953974" w:rsidRPr="00953974" w:rsidTr="00953974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Isknjiž.sa inv.u tijeku po nalogu povjeren.za popis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'9151203  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-2.776,39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2.776,39</w:t>
            </w:r>
          </w:p>
        </w:tc>
      </w:tr>
      <w:tr w:rsidR="00953974" w:rsidRPr="00953974" w:rsidTr="00953974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Isknjiž.sa inv.u tijeku po nalogu povjeren.za popis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'9151203  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-69.938,00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72.714,39</w:t>
            </w:r>
          </w:p>
        </w:tc>
      </w:tr>
      <w:tr w:rsidR="00953974" w:rsidRPr="00953974" w:rsidTr="00953974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11.8.2017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Rashod osn.sredst.2017.g.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'9151202  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9.765,81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82.480,20</w:t>
            </w:r>
          </w:p>
        </w:tc>
      </w:tr>
      <w:tr w:rsidR="00953974" w:rsidRPr="00953974" w:rsidTr="00953974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11.8.2017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Rashod osn.sredst.2017.g.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'9151202  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2.685,99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85.166,19</w:t>
            </w:r>
          </w:p>
        </w:tc>
      </w:tr>
      <w:tr w:rsidR="00953974" w:rsidRPr="00953974" w:rsidTr="00953974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12.451,80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-72.714,39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53974" w:rsidRPr="00953974" w:rsidRDefault="00953974" w:rsidP="0095397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5397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85.166,19</w:t>
            </w:r>
          </w:p>
        </w:tc>
      </w:tr>
    </w:tbl>
    <w:p w:rsidR="00953974" w:rsidRPr="003466C3" w:rsidRDefault="00953974" w:rsidP="003466C3">
      <w:pPr>
        <w:jc w:val="both"/>
        <w:rPr>
          <w:rFonts w:asciiTheme="minorHAnsi" w:hAnsiTheme="minorHAnsi"/>
        </w:rPr>
      </w:pPr>
    </w:p>
    <w:p w:rsidR="00415F5D" w:rsidRPr="003466C3" w:rsidRDefault="00415F5D" w:rsidP="00415F5D">
      <w:pPr>
        <w:rPr>
          <w:rFonts w:asciiTheme="minorHAnsi" w:hAnsiTheme="minorHAnsi"/>
          <w:b/>
          <w:u w:val="single"/>
        </w:rPr>
      </w:pPr>
    </w:p>
    <w:p w:rsidR="00415F5D" w:rsidRPr="003466C3" w:rsidRDefault="00415F5D" w:rsidP="00415F5D">
      <w:pPr>
        <w:rPr>
          <w:rFonts w:asciiTheme="minorHAnsi" w:hAnsiTheme="minorHAnsi"/>
        </w:rPr>
      </w:pPr>
    </w:p>
    <w:p w:rsidR="00E164BE" w:rsidRPr="003466C3" w:rsidRDefault="00E164BE" w:rsidP="00E164BE">
      <w:pPr>
        <w:rPr>
          <w:rFonts w:asciiTheme="minorHAnsi" w:hAnsiTheme="minorHAnsi"/>
          <w:b/>
          <w:u w:val="single"/>
        </w:rPr>
      </w:pPr>
      <w:r w:rsidRPr="003466C3">
        <w:rPr>
          <w:rFonts w:asciiTheme="minorHAnsi" w:hAnsiTheme="minorHAnsi"/>
          <w:b/>
          <w:u w:val="single"/>
        </w:rPr>
        <w:t xml:space="preserve">IV 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Pr="003466C3">
        <w:rPr>
          <w:rFonts w:asciiTheme="minorHAnsi" w:hAnsiTheme="minorHAnsi"/>
          <w:b/>
          <w:u w:val="single"/>
        </w:rPr>
        <w:t>BILJEŠKE UZ BILANCU</w:t>
      </w:r>
    </w:p>
    <w:p w:rsidR="00E164BE" w:rsidRPr="003466C3" w:rsidRDefault="00E164BE" w:rsidP="003466C3">
      <w:pPr>
        <w:jc w:val="both"/>
        <w:rPr>
          <w:rFonts w:asciiTheme="minorHAnsi" w:hAnsiTheme="minorHAnsi"/>
          <w:b/>
          <w:u w:val="single"/>
        </w:rPr>
      </w:pPr>
    </w:p>
    <w:p w:rsidR="00E164BE" w:rsidRPr="003466C3" w:rsidRDefault="00E164BE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Obrazac Bilance predstavlja vrijednosno iskazani pregled imovine, obveza i vlastitih izvora prvog i posljednjeg dana proračunske godine.</w:t>
      </w:r>
    </w:p>
    <w:p w:rsidR="00E164BE" w:rsidRPr="003466C3" w:rsidRDefault="00E164BE" w:rsidP="003466C3">
      <w:pPr>
        <w:jc w:val="both"/>
        <w:rPr>
          <w:rFonts w:asciiTheme="minorHAnsi" w:hAnsiTheme="minorHAnsi"/>
        </w:rPr>
      </w:pPr>
    </w:p>
    <w:p w:rsidR="00E8569F" w:rsidRDefault="008039D4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Imovina AOP 001 iznosi 622</w:t>
      </w:r>
      <w:r w:rsidR="00E164BE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092</w:t>
      </w:r>
      <w:r w:rsidR="00E164BE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187 kn što je za 0</w:t>
      </w:r>
      <w:r w:rsidR="00272338" w:rsidRPr="003466C3">
        <w:rPr>
          <w:rFonts w:asciiTheme="minorHAnsi" w:hAnsiTheme="minorHAnsi"/>
        </w:rPr>
        <w:t>,</w:t>
      </w:r>
      <w:r>
        <w:rPr>
          <w:rFonts w:asciiTheme="minorHAnsi" w:hAnsiTheme="minorHAnsi"/>
        </w:rPr>
        <w:t>7</w:t>
      </w:r>
      <w:r w:rsidR="00272338" w:rsidRPr="003466C3">
        <w:rPr>
          <w:rFonts w:asciiTheme="minorHAnsi" w:hAnsiTheme="minorHAnsi"/>
        </w:rPr>
        <w:t xml:space="preserve"> % manje nego </w:t>
      </w:r>
      <w:r w:rsidR="00E164BE" w:rsidRPr="003466C3">
        <w:rPr>
          <w:rFonts w:asciiTheme="minorHAnsi" w:hAnsiTheme="minorHAnsi"/>
        </w:rPr>
        <w:t xml:space="preserve">na početku razdoblja. </w:t>
      </w:r>
    </w:p>
    <w:p w:rsidR="00E164BE" w:rsidRPr="003466C3" w:rsidRDefault="00E164BE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Nefin</w:t>
      </w:r>
      <w:r w:rsidR="008039D4">
        <w:rPr>
          <w:rFonts w:asciiTheme="minorHAnsi" w:hAnsiTheme="minorHAnsi"/>
        </w:rPr>
        <w:t>ancijska imovina AOP 002 je za 0</w:t>
      </w:r>
      <w:r w:rsidRPr="003466C3">
        <w:rPr>
          <w:rFonts w:asciiTheme="minorHAnsi" w:hAnsiTheme="minorHAnsi"/>
        </w:rPr>
        <w:t>,</w:t>
      </w:r>
      <w:r w:rsidR="008039D4">
        <w:rPr>
          <w:rFonts w:asciiTheme="minorHAnsi" w:hAnsiTheme="minorHAnsi"/>
        </w:rPr>
        <w:t>9</w:t>
      </w:r>
      <w:r w:rsidRPr="003466C3">
        <w:rPr>
          <w:rFonts w:asciiTheme="minorHAnsi" w:hAnsiTheme="minorHAnsi"/>
        </w:rPr>
        <w:t xml:space="preserve"> % veća nego na početku godine. </w:t>
      </w:r>
    </w:p>
    <w:p w:rsidR="00E164BE" w:rsidRPr="003466C3" w:rsidRDefault="00E164BE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Neproizvedena du</w:t>
      </w:r>
      <w:r w:rsidR="008039D4">
        <w:rPr>
          <w:rFonts w:asciiTheme="minorHAnsi" w:hAnsiTheme="minorHAnsi"/>
        </w:rPr>
        <w:t>gotrajna imovina AOP 003 je za 1</w:t>
      </w:r>
      <w:r w:rsidRPr="003466C3">
        <w:rPr>
          <w:rFonts w:asciiTheme="minorHAnsi" w:hAnsiTheme="minorHAnsi"/>
        </w:rPr>
        <w:t>,</w:t>
      </w:r>
      <w:r w:rsidR="008039D4">
        <w:rPr>
          <w:rFonts w:asciiTheme="minorHAnsi" w:hAnsiTheme="minorHAnsi"/>
        </w:rPr>
        <w:t>8</w:t>
      </w:r>
      <w:r w:rsidRPr="003466C3">
        <w:rPr>
          <w:rFonts w:asciiTheme="minorHAnsi" w:hAnsiTheme="minorHAnsi"/>
        </w:rPr>
        <w:t>% veća nego početkom razdoblja iz razloga povećanja stanja na računu 01112-građevinsko zemljište i to kako slijedi:</w:t>
      </w:r>
    </w:p>
    <w:p w:rsidR="00E164BE" w:rsidRDefault="00E164BE" w:rsidP="003466C3">
      <w:pPr>
        <w:jc w:val="both"/>
        <w:rPr>
          <w:rFonts w:asciiTheme="minorHAnsi" w:hAnsiTheme="minorHAnsi"/>
        </w:rPr>
      </w:pPr>
    </w:p>
    <w:tbl>
      <w:tblPr>
        <w:tblW w:w="9430" w:type="dxa"/>
        <w:tblInd w:w="96" w:type="dxa"/>
        <w:tblLook w:val="04A0"/>
      </w:tblPr>
      <w:tblGrid>
        <w:gridCol w:w="1241"/>
        <w:gridCol w:w="5793"/>
        <w:gridCol w:w="1265"/>
        <w:gridCol w:w="1413"/>
      </w:tblGrid>
      <w:tr w:rsidR="008553F8" w:rsidRPr="008553F8" w:rsidTr="008553F8">
        <w:trPr>
          <w:trHeight w:val="3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68.025.469,73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2.1.2017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Isknjiž.zem.č.z.1243/3 K.Lukšić zbog prodaje u 2013.g.       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83.115,00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27.3.2017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zemljišta u K.Lukšiću (Put sv.Lovre)                  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3.648,00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18.5.2017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Kupovina  69 m2, tj 69/1719 dijela č.zem.830/2 K.O.K.Gomilica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43.662,20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29.8.2017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Kupovina dijela č.zem.71/10 K.O.K.Lukšić (13/56)             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19.550,00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29.8.2017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č.zem.72/2  K.OK.Lukšić (38/74)                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57.100,00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29.8.2017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Kupovina č.zem.71/10 K.O.K.Lukšić (13/56)                    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19.550,00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1.9.2017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Prodaja građ.zemlj.č.z.1294 k.o.K.Gomilica veza K63-1/2016.g.  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44.968,44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10.10.2017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Nagodba o naknadi prijenosa zemljišta č.z. 1056/2 KO Kaštel Novi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76.710,00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10.10.2017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Nagodba o naknadi prijenosa zemljišta č.z. 1056/2 KO Kaštel Novi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č.z.516/6 K.O.K.Novi  u svrhu rekonstrukcije Ra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duničeve ulice u K.N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51.007,00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čest.zem. dio 516/5 k.o. K.Novi-rekonstrukcija Radunićeve ulice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65.102,90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čest.zem. 517/13 k.o. K. Novi-rekonstrukcija R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adunićeve ulice u K. N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8.396,00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dijela čest.zem. 516/5 k.o. K. Novi-rekonstrukc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ija Radunićeve ulice 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26.255,40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13.12.2017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čest.zem. 512/5 k.o. K. Novi-rekonstrukcija Radunićeve u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lice u K. N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132.510,00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čest.zem. 512/5 k.o. K. Novi-rekonstrukcija Raduni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ćeve ulice u K. N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105.240,00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čest.zem.517/14 k.o. K. Novi- rekonstrukc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ija Radunićeve ulice u K.N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116.520,00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dijela čest.zem 517/15 k.o. K. Novi-rekonstrukc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ija Radunićeve ulice 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čest.zem 517/15 k.o. K. Novi-rekonstrukcija Radunićeve ulice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čest.zem. 499/15 k.o. K. Novi- rekonstrukc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ija Radunićeve ulice u K. N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39.875,50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čest.zem. 499/15 k.o. K. Novi- rekonstrukc</w:t>
            </w:r>
            <w:r w:rsidR="00C61C83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ija Radunićeva ulice u K. N</w:t>
            </w: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39.875,50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č.zem.517/15 K.O.K.Novi u svrhu rekonstrukcije Raduničeve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47.492,00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č.zem.485/45 K.o.K.Novi u svrhu rekonstrukcije Raduničeve ulice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98.687,50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30.146,00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30.146,00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30.147,00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ulice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30.147,00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 rekonstrukcije Raduničeve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30.147,00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C61C8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č.zem.509/4 K.O.K.Novi u svrhu rekonstrukcije Raduničeve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30.147,00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69.283.131,73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128.083,44</w:t>
            </w:r>
          </w:p>
        </w:tc>
      </w:tr>
      <w:tr w:rsidR="008553F8" w:rsidRPr="008553F8" w:rsidTr="008553F8">
        <w:trPr>
          <w:trHeight w:val="30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553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69.155.048,29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F8" w:rsidRPr="008553F8" w:rsidRDefault="008553F8" w:rsidP="008553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8553F8" w:rsidRDefault="008553F8" w:rsidP="003466C3">
      <w:pPr>
        <w:jc w:val="both"/>
        <w:rPr>
          <w:rFonts w:asciiTheme="minorHAnsi" w:hAnsiTheme="minorHAnsi"/>
        </w:rPr>
      </w:pPr>
    </w:p>
    <w:p w:rsidR="00580A07" w:rsidRDefault="00580A07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Nematerijalna imovina AOP 005 povećana je za 33,6% zbog ulaganja u računalne programe i licence.</w:t>
      </w:r>
    </w:p>
    <w:p w:rsidR="00E164BE" w:rsidRDefault="00E164BE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Proizvedena dugotrajna imovina AOP 007 je za </w:t>
      </w:r>
      <w:r w:rsidR="00973259">
        <w:rPr>
          <w:rFonts w:asciiTheme="minorHAnsi" w:hAnsiTheme="minorHAnsi"/>
        </w:rPr>
        <w:t>1</w:t>
      </w:r>
      <w:r w:rsidRPr="003466C3">
        <w:rPr>
          <w:rFonts w:asciiTheme="minorHAnsi" w:hAnsiTheme="minorHAnsi"/>
        </w:rPr>
        <w:t>8,</w:t>
      </w:r>
      <w:r w:rsidR="00973259">
        <w:rPr>
          <w:rFonts w:asciiTheme="minorHAnsi" w:hAnsiTheme="minorHAnsi"/>
        </w:rPr>
        <w:t>9</w:t>
      </w:r>
      <w:r w:rsidRPr="003466C3">
        <w:rPr>
          <w:rFonts w:asciiTheme="minorHAnsi" w:hAnsiTheme="minorHAnsi"/>
        </w:rPr>
        <w:t xml:space="preserve"> % veća nego početkom razdoblja i to iz razloga prijenosa u upotrebu </w:t>
      </w:r>
      <w:r w:rsidR="00973259">
        <w:rPr>
          <w:rFonts w:asciiTheme="minorHAnsi" w:hAnsiTheme="minorHAnsi"/>
        </w:rPr>
        <w:t>groblja, cesta, javne rasvjete</w:t>
      </w:r>
      <w:r w:rsidRPr="003466C3">
        <w:rPr>
          <w:rFonts w:asciiTheme="minorHAnsi" w:hAnsiTheme="minorHAnsi"/>
        </w:rPr>
        <w:t>,</w:t>
      </w:r>
      <w:r w:rsidR="00AC63CC" w:rsidRPr="003466C3">
        <w:rPr>
          <w:rFonts w:asciiTheme="minorHAnsi" w:hAnsiTheme="minorHAnsi"/>
        </w:rPr>
        <w:t xml:space="preserve"> </w:t>
      </w:r>
      <w:r w:rsidR="00F62BD1">
        <w:rPr>
          <w:rFonts w:asciiTheme="minorHAnsi" w:hAnsiTheme="minorHAnsi"/>
        </w:rPr>
        <w:t xml:space="preserve">spomenika, </w:t>
      </w:r>
      <w:r w:rsidR="0041435D" w:rsidRPr="003466C3">
        <w:rPr>
          <w:rFonts w:asciiTheme="minorHAnsi" w:hAnsiTheme="minorHAnsi"/>
        </w:rPr>
        <w:t xml:space="preserve">još nekih prijenosa investicija u upotrebu </w:t>
      </w:r>
      <w:r w:rsidRPr="003466C3">
        <w:rPr>
          <w:rFonts w:asciiTheme="minorHAnsi" w:hAnsiTheme="minorHAnsi"/>
        </w:rPr>
        <w:t>te uknjižbe</w:t>
      </w:r>
      <w:r w:rsidR="00973259">
        <w:rPr>
          <w:rFonts w:asciiTheme="minorHAnsi" w:hAnsiTheme="minorHAnsi"/>
        </w:rPr>
        <w:t xml:space="preserve"> imovine Grada </w:t>
      </w:r>
      <w:r w:rsidRPr="003466C3">
        <w:rPr>
          <w:rFonts w:asciiTheme="minorHAnsi" w:hAnsiTheme="minorHAnsi"/>
        </w:rPr>
        <w:t>:</w:t>
      </w:r>
    </w:p>
    <w:tbl>
      <w:tblPr>
        <w:tblW w:w="9430" w:type="dxa"/>
        <w:tblInd w:w="96" w:type="dxa"/>
        <w:tblLook w:val="04A0"/>
      </w:tblPr>
      <w:tblGrid>
        <w:gridCol w:w="1497"/>
        <w:gridCol w:w="5042"/>
        <w:gridCol w:w="1185"/>
        <w:gridCol w:w="1706"/>
      </w:tblGrid>
      <w:tr w:rsidR="00F62BD1" w:rsidRPr="00F62BD1" w:rsidTr="00F62BD1">
        <w:trPr>
          <w:trHeight w:val="30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Knjiženo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Duguje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Prij.groblja K.Stari u upotr.po nalogu povjerenstva  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9.764.143,63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Prij.groblja K.Sućurac u upotr.po nalogu povjerenstva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6.881.414,02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Prij.groblja K.Kambelovac u upotr.po nalogu povjerenstva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1.870.825,67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Prij.groblja K.Novi u upotr.po nalogu povjerenstva   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4.722.136,76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Prij.groblja K.Gomilica u upotr.po nalogu povjerenstva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3.388.289,30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Prij.groblja K.Lukšić u upotr.po nalogu povjerenstva 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751.714,73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Prij.javne rasvjete Kaštela u upotr.po nalogu povjerenstva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'0214700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9.354.030,13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upotr.tržnica i parkir.Lukšić po nalogu povjer.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717.141,39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upotr.parka oko spom.F.Tuđmana Lukšić         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307.440,00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upotr.Ceste oko groblja Sućurac po nal.povjer.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378.326,67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upotr.Vukovarske ulice u k:Stari po nalogu povjer.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1.366.912,46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upotr.Put sv.Josipa put groblja po nal.povjer.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794.705,18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upotr.Rimski put Sućurac                      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1.319.607,45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upotr.Ulica bl.Ivan Mertz Gomilica            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269.705,23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upot.Cesta dr F.Tuđmana -kaštel.cesta po nalogu povjer.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2.538.153,43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 u upot.Spomen obilježje na Malačkoj po nal.povjer.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1.081.728,01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 upotr.obal.pojas i kanal.kula Fortica Štafilić po nal.povjer.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600.146,26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16.8.2017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Rekonstrukcija lifta u zgradi gradske uprave u K.Sućurcu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'0212100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99.887,50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12.12.2017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Kameni stolovi za tržnicu u K.Sućurcu                               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80.918,75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20.12.2017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dijela č.zem.19/1, č.zgr.32/2 i i č.zgr.33 sve u K.O.K.Lukšić              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496.000,00</w:t>
            </w:r>
          </w:p>
        </w:tc>
      </w:tr>
      <w:tr w:rsidR="00F62BD1" w:rsidRPr="00F62BD1" w:rsidTr="00F62BD1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62BD1" w:rsidRPr="00F62BD1" w:rsidRDefault="00F62BD1" w:rsidP="00F62B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F62BD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46.783.226,57</w:t>
            </w:r>
          </w:p>
        </w:tc>
      </w:tr>
    </w:tbl>
    <w:p w:rsidR="00E164BE" w:rsidRDefault="00E164BE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lastRenderedPageBreak/>
        <w:t>Postrojenja i oprema AOP 014 iznosi 1.</w:t>
      </w:r>
      <w:r w:rsidR="00BA65A9">
        <w:rPr>
          <w:rFonts w:asciiTheme="minorHAnsi" w:hAnsiTheme="minorHAnsi"/>
        </w:rPr>
        <w:t>223</w:t>
      </w:r>
      <w:r w:rsidRPr="003466C3">
        <w:rPr>
          <w:rFonts w:asciiTheme="minorHAnsi" w:hAnsiTheme="minorHAnsi"/>
        </w:rPr>
        <w:t>.</w:t>
      </w:r>
      <w:r w:rsidR="00BA65A9">
        <w:rPr>
          <w:rFonts w:asciiTheme="minorHAnsi" w:hAnsiTheme="minorHAnsi"/>
        </w:rPr>
        <w:t>627 kn što je za 36</w:t>
      </w:r>
      <w:r w:rsidRPr="003466C3">
        <w:rPr>
          <w:rFonts w:asciiTheme="minorHAnsi" w:hAnsiTheme="minorHAnsi"/>
        </w:rPr>
        <w:t>,</w:t>
      </w:r>
      <w:r w:rsidR="00BA65A9">
        <w:rPr>
          <w:rFonts w:asciiTheme="minorHAnsi" w:hAnsiTheme="minorHAnsi"/>
        </w:rPr>
        <w:t>3% manje</w:t>
      </w:r>
      <w:r w:rsidRPr="003466C3">
        <w:rPr>
          <w:rFonts w:asciiTheme="minorHAnsi" w:hAnsiTheme="minorHAnsi"/>
        </w:rPr>
        <w:t xml:space="preserve"> nego na početku godine  i to zbog </w:t>
      </w:r>
      <w:r w:rsidR="00BA65A9">
        <w:rPr>
          <w:rFonts w:asciiTheme="minorHAnsi" w:hAnsiTheme="minorHAnsi"/>
        </w:rPr>
        <w:t>ispravka vrijednosti.</w:t>
      </w:r>
    </w:p>
    <w:p w:rsidR="00BA65A9" w:rsidRPr="003466C3" w:rsidRDefault="00BA65A9" w:rsidP="00E164BE">
      <w:pPr>
        <w:jc w:val="both"/>
        <w:rPr>
          <w:rFonts w:asciiTheme="minorHAnsi" w:hAnsiTheme="minorHAnsi"/>
        </w:rPr>
      </w:pPr>
    </w:p>
    <w:p w:rsidR="00E164BE" w:rsidRPr="003466C3" w:rsidRDefault="00F21136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Prijevozna sredst</w:t>
      </w:r>
      <w:r w:rsidR="00E164BE" w:rsidRPr="003466C3">
        <w:rPr>
          <w:rFonts w:asciiTheme="minorHAnsi" w:hAnsiTheme="minorHAnsi"/>
        </w:rPr>
        <w:t>v</w:t>
      </w:r>
      <w:r>
        <w:rPr>
          <w:rFonts w:asciiTheme="minorHAnsi" w:hAnsiTheme="minorHAnsi"/>
        </w:rPr>
        <w:t>a</w:t>
      </w:r>
      <w:r w:rsidR="00E164BE" w:rsidRPr="003466C3">
        <w:rPr>
          <w:rFonts w:asciiTheme="minorHAnsi" w:hAnsiTheme="minorHAnsi"/>
        </w:rPr>
        <w:t xml:space="preserve"> AOP 024 su </w:t>
      </w:r>
      <w:r w:rsidR="00BA65A9">
        <w:rPr>
          <w:rFonts w:asciiTheme="minorHAnsi" w:hAnsiTheme="minorHAnsi"/>
        </w:rPr>
        <w:t>manja su za 17</w:t>
      </w:r>
      <w:r w:rsidR="00E164BE" w:rsidRPr="003466C3">
        <w:rPr>
          <w:rFonts w:asciiTheme="minorHAnsi" w:hAnsiTheme="minorHAnsi"/>
        </w:rPr>
        <w:t>,</w:t>
      </w:r>
      <w:r w:rsidR="00BA65A9">
        <w:rPr>
          <w:rFonts w:asciiTheme="minorHAnsi" w:hAnsiTheme="minorHAnsi"/>
        </w:rPr>
        <w:t>3%</w:t>
      </w:r>
      <w:r w:rsidR="00E164BE" w:rsidRPr="003466C3">
        <w:rPr>
          <w:rFonts w:asciiTheme="minorHAnsi" w:hAnsiTheme="minorHAnsi"/>
        </w:rPr>
        <w:t xml:space="preserve"> zbog </w:t>
      </w:r>
      <w:r w:rsidR="00BA65A9">
        <w:rPr>
          <w:rFonts w:asciiTheme="minorHAnsi" w:hAnsiTheme="minorHAnsi"/>
        </w:rPr>
        <w:t>također zbog ispravka vrijednosti.</w:t>
      </w:r>
    </w:p>
    <w:p w:rsidR="00E164BE" w:rsidRPr="003466C3" w:rsidRDefault="00E164BE" w:rsidP="00E164BE">
      <w:pPr>
        <w:jc w:val="both"/>
        <w:rPr>
          <w:rFonts w:asciiTheme="minorHAnsi" w:hAnsiTheme="minorHAnsi"/>
        </w:rPr>
      </w:pPr>
    </w:p>
    <w:p w:rsidR="00E164BE" w:rsidRDefault="00E164BE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Nematerijalna proizvedena imovina AOP 040 je </w:t>
      </w:r>
      <w:r w:rsidR="00BA65A9">
        <w:rPr>
          <w:rFonts w:asciiTheme="minorHAnsi" w:hAnsiTheme="minorHAnsi"/>
        </w:rPr>
        <w:t>veća  za 397,9</w:t>
      </w:r>
      <w:r w:rsidRPr="003466C3">
        <w:rPr>
          <w:rFonts w:asciiTheme="minorHAnsi" w:hAnsiTheme="minorHAnsi"/>
        </w:rPr>
        <w:t xml:space="preserve">% iz razloga prijenosa </w:t>
      </w:r>
      <w:r w:rsidR="00BA65A9">
        <w:rPr>
          <w:rFonts w:asciiTheme="minorHAnsi" w:hAnsiTheme="minorHAnsi"/>
        </w:rPr>
        <w:t>urbanističkih planova u upotrebu</w:t>
      </w:r>
      <w:r w:rsidRPr="003466C3">
        <w:rPr>
          <w:rFonts w:asciiTheme="minorHAnsi" w:hAnsiTheme="minorHAnsi"/>
        </w:rPr>
        <w:t>.</w:t>
      </w:r>
    </w:p>
    <w:p w:rsidR="00BA65A9" w:rsidRDefault="00BA65A9" w:rsidP="00E164BE">
      <w:pPr>
        <w:jc w:val="both"/>
        <w:rPr>
          <w:rFonts w:asciiTheme="minorHAnsi" w:hAnsiTheme="minorHAnsi"/>
        </w:rPr>
      </w:pPr>
    </w:p>
    <w:tbl>
      <w:tblPr>
        <w:tblW w:w="9430" w:type="dxa"/>
        <w:tblInd w:w="96" w:type="dxa"/>
        <w:tblLook w:val="04A0"/>
      </w:tblPr>
      <w:tblGrid>
        <w:gridCol w:w="1151"/>
        <w:gridCol w:w="6056"/>
        <w:gridCol w:w="912"/>
        <w:gridCol w:w="1311"/>
      </w:tblGrid>
      <w:tr w:rsidR="00BA65A9" w:rsidRPr="00BA65A9" w:rsidTr="00BA65A9">
        <w:trPr>
          <w:trHeight w:val="3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Knjiženo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Duguje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PS</w:t>
            </w: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1.079.000,18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Prij.izm.i dop.PPUG i GUP-a po nal.povjer.    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147.600,00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Prij.urb.plana uređ.Brižine II-UPU 26 po nal.povjer.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236.811,00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Prij.UP uređ.radne zone Lukšić - UPU27 po nal.povjer.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232.067,00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 uređ. UPU 2,UPU 3,UPU 8 po nal.povjer.     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326.446,87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 uređ. UPU 4 i UPU 5 prij.po nal.povjer.    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327.611,25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 uređ.UPU 6 i UPU 7 prij.po nal.povjer.     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319.902,75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 UPU9,UPU10,UPU11,UPU12,UPU13,UPU15 prij.po nal.povjer.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324.047,25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 UPU14,UPU19,UPU20,UPU21 prij.po nal.povjer.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519.758,45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 UPU22,UPU23,UPU24,UPU25 prij.po nal.povjer.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467.515,56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Urban.plan uređenja prij.po nal.povjer.       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1.143.346,00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Detaljni plan uređ.Giričić prij.po nal.povjer.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150.852,58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DPU Đardin Stari prij.po nal.povjer.           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429.440,00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Izr.prost.plana i dop.GUP-a prij.po nal.povjer.     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157.136,00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28.7.2017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Izrada programa zaštite zraka, ozonskog sloja, ublažavanje klimatskih promjena za područje grada Kaš</w:t>
            </w:r>
            <w:r w:rsidR="00535D9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18.12.2017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Izmjene i dopune Generalnog urbanističkog plana Kaštela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58.125,00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18.12.2017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Izmjene i dopune Prostornog plana uređenje grada Kaštela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'0264100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58.875,00</w:t>
            </w:r>
          </w:p>
        </w:tc>
      </w:tr>
      <w:tr w:rsidR="00BA65A9" w:rsidRPr="00BA65A9" w:rsidTr="00BA65A9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A65A9" w:rsidRPr="00BA65A9" w:rsidRDefault="00BA65A9" w:rsidP="00BA65A9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A65A9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5.998.534,89</w:t>
            </w:r>
          </w:p>
        </w:tc>
      </w:tr>
    </w:tbl>
    <w:p w:rsidR="00BA65A9" w:rsidRPr="003466C3" w:rsidRDefault="00BA65A9" w:rsidP="00E164BE">
      <w:pPr>
        <w:jc w:val="both"/>
        <w:rPr>
          <w:rFonts w:asciiTheme="minorHAnsi" w:hAnsiTheme="minorHAnsi"/>
        </w:rPr>
      </w:pPr>
    </w:p>
    <w:p w:rsidR="00E164BE" w:rsidRPr="003466C3" w:rsidRDefault="00E164BE" w:rsidP="00E164BE">
      <w:pPr>
        <w:jc w:val="both"/>
        <w:rPr>
          <w:rFonts w:asciiTheme="minorHAnsi" w:hAnsiTheme="minorHAnsi"/>
        </w:rPr>
      </w:pPr>
    </w:p>
    <w:p w:rsidR="00E164BE" w:rsidRPr="003466C3" w:rsidRDefault="00E164BE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Dugotrajna nefinancijska imovina u p</w:t>
      </w:r>
      <w:r w:rsidR="00227162">
        <w:rPr>
          <w:rFonts w:asciiTheme="minorHAnsi" w:hAnsiTheme="minorHAnsi"/>
        </w:rPr>
        <w:t>ripremi AOP 051 je smanjena za 20</w:t>
      </w:r>
      <w:r w:rsidRPr="003466C3">
        <w:rPr>
          <w:rFonts w:asciiTheme="minorHAnsi" w:hAnsiTheme="minorHAnsi"/>
        </w:rPr>
        <w:t>,</w:t>
      </w:r>
      <w:r w:rsidR="00227162">
        <w:rPr>
          <w:rFonts w:asciiTheme="minorHAnsi" w:hAnsiTheme="minorHAnsi"/>
        </w:rPr>
        <w:t>8</w:t>
      </w:r>
      <w:r w:rsidRPr="003466C3">
        <w:rPr>
          <w:rFonts w:asciiTheme="minorHAnsi" w:hAnsiTheme="minorHAnsi"/>
        </w:rPr>
        <w:t xml:space="preserve">% iz razloga prijenosa </w:t>
      </w:r>
      <w:r w:rsidR="00227162">
        <w:rPr>
          <w:rFonts w:asciiTheme="minorHAnsi" w:hAnsiTheme="minorHAnsi"/>
        </w:rPr>
        <w:t>gore navedenih investicija u upotrebu.</w:t>
      </w:r>
    </w:p>
    <w:p w:rsidR="00E164BE" w:rsidRPr="003466C3" w:rsidRDefault="00E164BE" w:rsidP="00E164BE">
      <w:pPr>
        <w:jc w:val="both"/>
        <w:rPr>
          <w:rFonts w:asciiTheme="minorHAnsi" w:hAnsiTheme="minorHAnsi"/>
        </w:rPr>
      </w:pPr>
    </w:p>
    <w:p w:rsidR="00E164BE" w:rsidRPr="003466C3" w:rsidRDefault="00E164BE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Financ</w:t>
      </w:r>
      <w:r w:rsidR="00227162">
        <w:rPr>
          <w:rFonts w:asciiTheme="minorHAnsi" w:hAnsiTheme="minorHAnsi"/>
        </w:rPr>
        <w:t>ijska imovina AOP 063 iznosi 172</w:t>
      </w:r>
      <w:r w:rsidRPr="003466C3">
        <w:rPr>
          <w:rFonts w:asciiTheme="minorHAnsi" w:hAnsiTheme="minorHAnsi"/>
        </w:rPr>
        <w:t>.</w:t>
      </w:r>
      <w:r w:rsidR="00227162">
        <w:rPr>
          <w:rFonts w:asciiTheme="minorHAnsi" w:hAnsiTheme="minorHAnsi"/>
        </w:rPr>
        <w:t>511</w:t>
      </w:r>
      <w:r w:rsidRPr="003466C3">
        <w:rPr>
          <w:rFonts w:asciiTheme="minorHAnsi" w:hAnsiTheme="minorHAnsi"/>
        </w:rPr>
        <w:t>.</w:t>
      </w:r>
      <w:r w:rsidR="00227162">
        <w:rPr>
          <w:rFonts w:asciiTheme="minorHAnsi" w:hAnsiTheme="minorHAnsi"/>
        </w:rPr>
        <w:t>097 kn i za 4</w:t>
      </w:r>
      <w:r w:rsidRPr="003466C3">
        <w:rPr>
          <w:rFonts w:asciiTheme="minorHAnsi" w:hAnsiTheme="minorHAnsi"/>
        </w:rPr>
        <w:t>,</w:t>
      </w:r>
      <w:r w:rsidR="00227162">
        <w:rPr>
          <w:rFonts w:asciiTheme="minorHAnsi" w:hAnsiTheme="minorHAnsi"/>
        </w:rPr>
        <w:t>7</w:t>
      </w:r>
      <w:r w:rsidRPr="003466C3">
        <w:rPr>
          <w:rFonts w:asciiTheme="minorHAnsi" w:hAnsiTheme="minorHAnsi"/>
        </w:rPr>
        <w:t>% je manja nego na početku razdoblja.</w:t>
      </w:r>
    </w:p>
    <w:p w:rsidR="00E164BE" w:rsidRDefault="00E164BE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Razlog smanjenja je </w:t>
      </w:r>
      <w:r w:rsidR="00227162">
        <w:rPr>
          <w:rFonts w:asciiTheme="minorHAnsi" w:hAnsiTheme="minorHAnsi"/>
        </w:rPr>
        <w:t>zbog manje novca na računu kod tuzemnih poslovnih banaka AOP 067.</w:t>
      </w:r>
    </w:p>
    <w:p w:rsidR="00535D92" w:rsidRDefault="00535D92" w:rsidP="00E164BE">
      <w:pPr>
        <w:jc w:val="both"/>
        <w:rPr>
          <w:rFonts w:asciiTheme="minorHAnsi" w:hAnsiTheme="minorHAnsi"/>
        </w:rPr>
      </w:pPr>
    </w:p>
    <w:p w:rsidR="00227162" w:rsidRDefault="00EB05D3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Ostala potraživanja AOP 080 su veća za 56,2 % nego u 2016.godini zbog više plaćenih predujmova.</w:t>
      </w:r>
    </w:p>
    <w:p w:rsidR="00EB05D3" w:rsidRDefault="00EB05D3" w:rsidP="00E164BE">
      <w:pPr>
        <w:jc w:val="both"/>
        <w:rPr>
          <w:rFonts w:asciiTheme="minorHAnsi" w:hAnsiTheme="minorHAnsi"/>
        </w:rPr>
      </w:pPr>
    </w:p>
    <w:p w:rsidR="00535D92" w:rsidRDefault="00535D92" w:rsidP="00E164BE">
      <w:pPr>
        <w:jc w:val="both"/>
        <w:rPr>
          <w:rFonts w:asciiTheme="minorHAnsi" w:hAnsiTheme="minorHAnsi"/>
        </w:rPr>
      </w:pPr>
    </w:p>
    <w:p w:rsidR="00227162" w:rsidRDefault="00227162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Potraživanja za prihode poslovanja AOP 140 iznosi 53.406.447 kn odnosno 7,2% manje nego na početku razdoblja a razlog je usklada za Poreznom upravom za prihode o kojima oni vode naplatu te bolja naplata nekih drugih prihoda.</w:t>
      </w:r>
    </w:p>
    <w:p w:rsidR="003F6B21" w:rsidRDefault="003F6B21" w:rsidP="00E164BE">
      <w:pPr>
        <w:jc w:val="both"/>
        <w:rPr>
          <w:rFonts w:asciiTheme="minorHAnsi" w:hAnsiTheme="minorHAnsi"/>
        </w:rPr>
      </w:pPr>
    </w:p>
    <w:p w:rsidR="00535D92" w:rsidRDefault="00535D92" w:rsidP="00E164BE">
      <w:pPr>
        <w:jc w:val="both"/>
        <w:rPr>
          <w:rFonts w:asciiTheme="minorHAnsi" w:hAnsiTheme="minorHAnsi"/>
        </w:rPr>
      </w:pPr>
    </w:p>
    <w:p w:rsidR="00535D92" w:rsidRDefault="00535D92" w:rsidP="00E164BE">
      <w:pPr>
        <w:jc w:val="both"/>
        <w:rPr>
          <w:rFonts w:asciiTheme="minorHAnsi" w:hAnsiTheme="minorHAnsi"/>
        </w:rPr>
      </w:pPr>
    </w:p>
    <w:tbl>
      <w:tblPr>
        <w:tblW w:w="9261" w:type="dxa"/>
        <w:tblInd w:w="96" w:type="dxa"/>
        <w:tblLook w:val="04A0"/>
      </w:tblPr>
      <w:tblGrid>
        <w:gridCol w:w="768"/>
        <w:gridCol w:w="5481"/>
        <w:gridCol w:w="1506"/>
        <w:gridCol w:w="1506"/>
      </w:tblGrid>
      <w:tr w:rsidR="003F6B21" w:rsidRPr="003F6B21" w:rsidTr="003F6B21"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lastRenderedPageBreak/>
              <w:t>Konto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PS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Saldo 31.12.2017.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16131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20.141,16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5.468,46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520.270,75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383.553,45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4.337.536,94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2.847.112,82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dane koncesije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50.005,00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2.382.961,31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2.166.408,69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ostale prihode od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842.849,43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858.715,27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3.429.314,69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3.039.755,63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7.815.277,75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9.162.126,23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38.179.402,12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3F6B2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34.893.301,70</w:t>
            </w:r>
          </w:p>
        </w:tc>
      </w:tr>
      <w:tr w:rsidR="003F6B21" w:rsidRPr="003F6B21" w:rsidTr="003F6B2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57.527.754,15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F6B21" w:rsidRPr="003F6B21" w:rsidRDefault="003F6B21" w:rsidP="003F6B21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3F6B2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53.406.447,25</w:t>
            </w:r>
          </w:p>
        </w:tc>
      </w:tr>
    </w:tbl>
    <w:p w:rsidR="003F6B21" w:rsidRDefault="003F6B21" w:rsidP="00E164BE">
      <w:pPr>
        <w:jc w:val="both"/>
        <w:rPr>
          <w:rFonts w:asciiTheme="minorHAnsi" w:hAnsiTheme="minorHAnsi"/>
        </w:rPr>
      </w:pPr>
    </w:p>
    <w:p w:rsidR="003F6B21" w:rsidRDefault="003F6B21" w:rsidP="00E164BE">
      <w:pPr>
        <w:jc w:val="both"/>
        <w:rPr>
          <w:rFonts w:asciiTheme="minorHAnsi" w:hAnsiTheme="minorHAnsi"/>
        </w:rPr>
      </w:pPr>
    </w:p>
    <w:p w:rsidR="00E164BE" w:rsidRPr="003466C3" w:rsidRDefault="00227162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Potraživanja od prodaje nefinancijske imovine AOP 157 iznose 4.252.608 kn što je povećanje od 186,6% iz razloga prodaje nekre</w:t>
      </w:r>
      <w:r w:rsidR="00F21136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nina prema Ugovoru o zamjeni nekretnina sa Ribola d.o.o. Ovdje spadaju i </w:t>
      </w:r>
      <w:r w:rsidR="007313C8" w:rsidRPr="003466C3">
        <w:rPr>
          <w:rFonts w:asciiTheme="minorHAnsi" w:hAnsiTheme="minorHAnsi"/>
        </w:rPr>
        <w:t>otplate za prodane stanove čiju naplatu prema ugovoru za Grad Kaštela vodi Splitska banka d.d.</w:t>
      </w:r>
    </w:p>
    <w:p w:rsidR="001E7960" w:rsidRPr="003466C3" w:rsidRDefault="001E7960" w:rsidP="00E164BE">
      <w:pPr>
        <w:jc w:val="both"/>
        <w:rPr>
          <w:rFonts w:asciiTheme="minorHAnsi" w:hAnsiTheme="minorHAnsi"/>
        </w:rPr>
      </w:pPr>
    </w:p>
    <w:p w:rsidR="001E7960" w:rsidRDefault="001E7960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Obveze AOP 163 iznose</w:t>
      </w:r>
      <w:r w:rsidR="00B2521E">
        <w:rPr>
          <w:rFonts w:asciiTheme="minorHAnsi" w:hAnsiTheme="minorHAnsi"/>
        </w:rPr>
        <w:t xml:space="preserve"> 9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>704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>939 kn što je 8,0</w:t>
      </w:r>
      <w:r w:rsidRPr="003466C3">
        <w:rPr>
          <w:rFonts w:asciiTheme="minorHAnsi" w:hAnsiTheme="minorHAnsi"/>
        </w:rPr>
        <w:t xml:space="preserve">% </w:t>
      </w:r>
      <w:r w:rsidR="00B2521E">
        <w:rPr>
          <w:rFonts w:asciiTheme="minorHAnsi" w:hAnsiTheme="minorHAnsi"/>
        </w:rPr>
        <w:t>više</w:t>
      </w:r>
      <w:r w:rsidRPr="003466C3">
        <w:rPr>
          <w:rFonts w:asciiTheme="minorHAnsi" w:hAnsiTheme="minorHAnsi"/>
        </w:rPr>
        <w:t xml:space="preserve"> nego na početku razdoblja. Grad je zbog dobre financijske situacije bio u mogućnosti uredno podmirivati sve svoje obveze tijekom cijele godine</w:t>
      </w:r>
      <w:r w:rsidR="00B20BBD">
        <w:rPr>
          <w:rFonts w:asciiTheme="minorHAnsi" w:hAnsiTheme="minorHAnsi"/>
        </w:rPr>
        <w:t xml:space="preserve"> no veći dio obveza je nastao krajem godine (razne situacije, Božićnice,...) pa su te obveze evidentirane tek nakon 31.12.2017. te iste nisu mogle biti plaćene tijekom tekuće godine.</w:t>
      </w:r>
      <w:r w:rsidRPr="003466C3">
        <w:rPr>
          <w:rFonts w:asciiTheme="minorHAnsi" w:hAnsiTheme="minorHAnsi"/>
        </w:rPr>
        <w:t xml:space="preserve"> Veći dio obveza je nedospio što je obrazloženo uz bilješke uz Obrazac obveze. </w:t>
      </w:r>
    </w:p>
    <w:p w:rsidR="0010359A" w:rsidRPr="003466C3" w:rsidRDefault="0010359A" w:rsidP="00E164BE">
      <w:pPr>
        <w:jc w:val="both"/>
        <w:rPr>
          <w:rFonts w:asciiTheme="minorHAnsi" w:hAnsiTheme="minorHAnsi"/>
        </w:rPr>
      </w:pPr>
    </w:p>
    <w:p w:rsidR="001E7960" w:rsidRPr="003466C3" w:rsidRDefault="001E7960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Obveze za rashode poslovanja AOP 164 su iznosile 7.</w:t>
      </w:r>
      <w:r w:rsidR="00B2521E">
        <w:rPr>
          <w:rFonts w:asciiTheme="minorHAnsi" w:hAnsiTheme="minorHAnsi"/>
        </w:rPr>
        <w:t>436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 xml:space="preserve">033 kn što je </w:t>
      </w:r>
      <w:r w:rsidRPr="003466C3">
        <w:rPr>
          <w:rFonts w:asciiTheme="minorHAnsi" w:hAnsiTheme="minorHAnsi"/>
        </w:rPr>
        <w:t>4,</w:t>
      </w:r>
      <w:r w:rsidR="00B2521E">
        <w:rPr>
          <w:rFonts w:asciiTheme="minorHAnsi" w:hAnsiTheme="minorHAnsi"/>
        </w:rPr>
        <w:t>5</w:t>
      </w:r>
      <w:r w:rsidRPr="003466C3">
        <w:rPr>
          <w:rFonts w:asciiTheme="minorHAnsi" w:hAnsiTheme="minorHAnsi"/>
        </w:rPr>
        <w:t xml:space="preserve">% </w:t>
      </w:r>
      <w:r w:rsidR="00B2521E">
        <w:rPr>
          <w:rFonts w:asciiTheme="minorHAnsi" w:hAnsiTheme="minorHAnsi"/>
        </w:rPr>
        <w:t>više</w:t>
      </w:r>
      <w:r w:rsidRPr="003466C3">
        <w:rPr>
          <w:rFonts w:asciiTheme="minorHAnsi" w:hAnsiTheme="minorHAnsi"/>
        </w:rPr>
        <w:t xml:space="preserve"> nego na početku razdoblja</w:t>
      </w:r>
      <w:r w:rsidR="00C67D33" w:rsidRPr="003466C3">
        <w:rPr>
          <w:rFonts w:asciiTheme="minorHAnsi" w:hAnsiTheme="minorHAnsi"/>
        </w:rPr>
        <w:t>.</w:t>
      </w:r>
    </w:p>
    <w:p w:rsidR="00FB4413" w:rsidRPr="003466C3" w:rsidRDefault="00FB4413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Obveze za financijske</w:t>
      </w:r>
      <w:r w:rsidR="00B2521E">
        <w:rPr>
          <w:rFonts w:asciiTheme="minorHAnsi" w:hAnsiTheme="minorHAnsi"/>
        </w:rPr>
        <w:t xml:space="preserve"> rashode AOP 167 su iznosile 461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>540</w:t>
      </w:r>
      <w:r w:rsidRPr="003466C3">
        <w:rPr>
          <w:rFonts w:asciiTheme="minorHAnsi" w:hAnsiTheme="minorHAnsi"/>
        </w:rPr>
        <w:t xml:space="preserve"> kn a odnose se na obveze Hrvatskim vodam</w:t>
      </w:r>
      <w:r w:rsidR="00AC63CC" w:rsidRPr="003466C3">
        <w:rPr>
          <w:rFonts w:asciiTheme="minorHAnsi" w:hAnsiTheme="minorHAnsi"/>
        </w:rPr>
        <w:t xml:space="preserve">a za naplatu vodne naknade a </w:t>
      </w:r>
      <w:r w:rsidRPr="003466C3">
        <w:rPr>
          <w:rFonts w:asciiTheme="minorHAnsi" w:hAnsiTheme="minorHAnsi"/>
        </w:rPr>
        <w:t xml:space="preserve"> obračunato sa 31.12.201</w:t>
      </w:r>
      <w:r w:rsidR="00B2521E">
        <w:rPr>
          <w:rFonts w:asciiTheme="minorHAnsi" w:hAnsiTheme="minorHAnsi"/>
        </w:rPr>
        <w:t>7</w:t>
      </w:r>
      <w:r w:rsidRPr="003466C3">
        <w:rPr>
          <w:rFonts w:asciiTheme="minorHAnsi" w:hAnsiTheme="minorHAnsi"/>
        </w:rPr>
        <w:t>.</w:t>
      </w:r>
    </w:p>
    <w:p w:rsidR="00AC63CC" w:rsidRPr="003466C3" w:rsidRDefault="00AC63CC" w:rsidP="00E164BE">
      <w:pPr>
        <w:jc w:val="both"/>
        <w:rPr>
          <w:rFonts w:asciiTheme="minorHAnsi" w:hAnsiTheme="minorHAnsi"/>
        </w:rPr>
      </w:pPr>
    </w:p>
    <w:p w:rsidR="0010359A" w:rsidRDefault="0010359A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Obveze za naknade građanima i kućanstvima AOP 172 su veće za 77 % iz razloga podjele Božićnica nezaposlenima, većih naknada za novorođene, socijalno ugrožene,...</w:t>
      </w:r>
    </w:p>
    <w:p w:rsidR="0010359A" w:rsidRDefault="0010359A" w:rsidP="00E164BE">
      <w:pPr>
        <w:jc w:val="both"/>
        <w:rPr>
          <w:rFonts w:asciiTheme="minorHAnsi" w:hAnsiTheme="minorHAnsi"/>
        </w:rPr>
      </w:pPr>
    </w:p>
    <w:p w:rsidR="00C67D33" w:rsidRPr="00B2521E" w:rsidRDefault="00C67D33" w:rsidP="00E164BE">
      <w:pPr>
        <w:jc w:val="both"/>
        <w:rPr>
          <w:rFonts w:asciiTheme="minorHAnsi" w:hAnsiTheme="minorHAnsi"/>
          <w:color w:val="FF0000"/>
        </w:rPr>
      </w:pPr>
      <w:r w:rsidRPr="003466C3">
        <w:rPr>
          <w:rFonts w:asciiTheme="minorHAnsi" w:hAnsiTheme="minorHAnsi"/>
        </w:rPr>
        <w:t>Obveze za naba</w:t>
      </w:r>
      <w:r w:rsidR="00B2521E">
        <w:rPr>
          <w:rFonts w:asciiTheme="minorHAnsi" w:hAnsiTheme="minorHAnsi"/>
        </w:rPr>
        <w:t>vu nefinancijske imovine AOP 175 su iznosile 2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>115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>973 kn što je za 54,2</w:t>
      </w:r>
      <w:r w:rsidRPr="003466C3">
        <w:rPr>
          <w:rFonts w:asciiTheme="minorHAnsi" w:hAnsiTheme="minorHAnsi"/>
        </w:rPr>
        <w:t>% više na početku razdoblja</w:t>
      </w:r>
      <w:r w:rsidR="000026AA" w:rsidRPr="003466C3">
        <w:rPr>
          <w:rFonts w:asciiTheme="minorHAnsi" w:hAnsiTheme="minorHAnsi"/>
        </w:rPr>
        <w:t xml:space="preserve"> a odnose se na situacije za izvrše</w:t>
      </w:r>
      <w:r w:rsidR="00AC63CC" w:rsidRPr="003466C3">
        <w:rPr>
          <w:rFonts w:asciiTheme="minorHAnsi" w:hAnsiTheme="minorHAnsi"/>
        </w:rPr>
        <w:t>ne radove k</w:t>
      </w:r>
      <w:r w:rsidR="000026AA" w:rsidRPr="003466C3">
        <w:rPr>
          <w:rFonts w:asciiTheme="minorHAnsi" w:hAnsiTheme="minorHAnsi"/>
        </w:rPr>
        <w:t>rajem godine čije je dospijeće kroz 201</w:t>
      </w:r>
      <w:r w:rsidR="00B2521E">
        <w:rPr>
          <w:rFonts w:asciiTheme="minorHAnsi" w:hAnsiTheme="minorHAnsi"/>
        </w:rPr>
        <w:t>8</w:t>
      </w:r>
      <w:r w:rsidR="000026AA" w:rsidRPr="003466C3">
        <w:rPr>
          <w:rFonts w:asciiTheme="minorHAnsi" w:hAnsiTheme="minorHAnsi"/>
        </w:rPr>
        <w:t xml:space="preserve">.godinu </w:t>
      </w:r>
      <w:r w:rsidR="000026AA" w:rsidRPr="00B5620A">
        <w:rPr>
          <w:rFonts w:asciiTheme="minorHAnsi" w:hAnsiTheme="minorHAnsi"/>
          <w:color w:val="000000" w:themeColor="text1"/>
        </w:rPr>
        <w:t>(</w:t>
      </w:r>
      <w:r w:rsidR="008A6645" w:rsidRPr="00B5620A">
        <w:rPr>
          <w:rFonts w:asciiTheme="minorHAnsi" w:hAnsiTheme="minorHAnsi"/>
          <w:color w:val="000000" w:themeColor="text1"/>
        </w:rPr>
        <w:t>reciklažno dvorište</w:t>
      </w:r>
      <w:r w:rsidR="000026AA" w:rsidRPr="00B5620A">
        <w:rPr>
          <w:rFonts w:asciiTheme="minorHAnsi" w:hAnsiTheme="minorHAnsi"/>
          <w:color w:val="000000" w:themeColor="text1"/>
        </w:rPr>
        <w:t xml:space="preserve">; </w:t>
      </w:r>
      <w:r w:rsidR="008A6645" w:rsidRPr="00B5620A">
        <w:rPr>
          <w:rFonts w:asciiTheme="minorHAnsi" w:hAnsiTheme="minorHAnsi"/>
          <w:color w:val="000000" w:themeColor="text1"/>
        </w:rPr>
        <w:t>Mjesni odbor Radun; kolektori fekalne kanalizacije; uređenje okoliša crkve u Radunu; rekonstrukcija Ulice dr.Tuđmana u Sućurcu;</w:t>
      </w:r>
      <w:r w:rsidR="000026AA" w:rsidRPr="00B5620A">
        <w:rPr>
          <w:rFonts w:asciiTheme="minorHAnsi" w:hAnsiTheme="minorHAnsi"/>
          <w:color w:val="000000" w:themeColor="text1"/>
        </w:rPr>
        <w:t xml:space="preserve"> </w:t>
      </w:r>
      <w:r w:rsidR="008A6645" w:rsidRPr="00B5620A">
        <w:rPr>
          <w:rFonts w:asciiTheme="minorHAnsi" w:hAnsiTheme="minorHAnsi"/>
          <w:color w:val="000000" w:themeColor="text1"/>
        </w:rPr>
        <w:t>svjetlosne blagdanske dekoracije;</w:t>
      </w:r>
      <w:r w:rsidR="000026AA" w:rsidRPr="00B5620A">
        <w:rPr>
          <w:rFonts w:asciiTheme="minorHAnsi" w:hAnsiTheme="minorHAnsi"/>
          <w:color w:val="000000" w:themeColor="text1"/>
        </w:rPr>
        <w:t>....)</w:t>
      </w:r>
    </w:p>
    <w:p w:rsidR="00E164BE" w:rsidRPr="003466C3" w:rsidRDefault="00E164BE" w:rsidP="00E164BE">
      <w:pPr>
        <w:jc w:val="both"/>
        <w:rPr>
          <w:rFonts w:asciiTheme="minorHAnsi" w:hAnsiTheme="minorHAnsi"/>
        </w:rPr>
      </w:pPr>
    </w:p>
    <w:p w:rsidR="000026AA" w:rsidRPr="003466C3" w:rsidRDefault="00E26885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Obveze za kredite i</w:t>
      </w:r>
      <w:r w:rsidR="00B2521E">
        <w:rPr>
          <w:rFonts w:asciiTheme="minorHAnsi" w:hAnsiTheme="minorHAnsi"/>
        </w:rPr>
        <w:t xml:space="preserve"> zajmove AOP 193 su iznosile 152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>933</w:t>
      </w:r>
      <w:r w:rsidRPr="003466C3">
        <w:rPr>
          <w:rFonts w:asciiTheme="minorHAnsi" w:hAnsiTheme="minorHAnsi"/>
        </w:rPr>
        <w:t xml:space="preserve"> kn i odnose se na leasing za nabavku kamiona čistilice.</w:t>
      </w:r>
    </w:p>
    <w:p w:rsidR="007A41D0" w:rsidRPr="003466C3" w:rsidRDefault="007A41D0" w:rsidP="00E164BE">
      <w:pPr>
        <w:jc w:val="both"/>
        <w:rPr>
          <w:rFonts w:asciiTheme="minorHAnsi" w:hAnsiTheme="minorHAnsi"/>
        </w:rPr>
      </w:pPr>
    </w:p>
    <w:p w:rsidR="007A41D0" w:rsidRPr="003466C3" w:rsidRDefault="00B2521E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Vlastiti izvori AOP 223 iznose 612</w:t>
      </w:r>
      <w:r w:rsidR="007A41D0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387</w:t>
      </w:r>
      <w:r w:rsidR="007A41D0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248</w:t>
      </w:r>
      <w:r w:rsidR="007A41D0" w:rsidRPr="003466C3">
        <w:rPr>
          <w:rFonts w:asciiTheme="minorHAnsi" w:hAnsiTheme="minorHAnsi"/>
        </w:rPr>
        <w:t xml:space="preserve"> kn što je za 0,9% manje nego na početku razdoblja.</w:t>
      </w:r>
    </w:p>
    <w:p w:rsidR="00AC63CC" w:rsidRPr="003466C3" w:rsidRDefault="00AC63CC" w:rsidP="00E164BE">
      <w:pPr>
        <w:jc w:val="both"/>
        <w:rPr>
          <w:rFonts w:asciiTheme="minorHAnsi" w:hAnsiTheme="minorHAnsi"/>
        </w:rPr>
      </w:pPr>
    </w:p>
    <w:p w:rsidR="00DB4621" w:rsidRPr="003466C3" w:rsidRDefault="00B2521E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Vlastiti izvori AOP 225 iznose 551</w:t>
      </w:r>
      <w:r w:rsidR="00DB4621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685</w:t>
      </w:r>
      <w:r w:rsidR="00DB4621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490</w:t>
      </w:r>
      <w:r w:rsidR="00DB4621" w:rsidRPr="003466C3">
        <w:rPr>
          <w:rFonts w:asciiTheme="minorHAnsi" w:hAnsiTheme="minorHAnsi"/>
        </w:rPr>
        <w:t xml:space="preserve"> kn  a sastoje se od:</w:t>
      </w:r>
    </w:p>
    <w:p w:rsidR="00DB4621" w:rsidRPr="003466C3" w:rsidRDefault="00DB4621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lastRenderedPageBreak/>
        <w:t>Vlas</w:t>
      </w:r>
      <w:r w:rsidR="00B2521E">
        <w:rPr>
          <w:rFonts w:asciiTheme="minorHAnsi" w:hAnsiTheme="minorHAnsi"/>
        </w:rPr>
        <w:t>titih izvora iz proračuna AOP 26</w:t>
      </w:r>
      <w:r w:rsidRPr="003466C3">
        <w:rPr>
          <w:rFonts w:asciiTheme="minorHAnsi" w:hAnsiTheme="minorHAnsi"/>
        </w:rPr>
        <w:t xml:space="preserve">7 </w:t>
      </w:r>
      <w:r w:rsidR="00B2521E">
        <w:rPr>
          <w:rFonts w:asciiTheme="minorHAnsi" w:hAnsiTheme="minorHAnsi"/>
        </w:rPr>
        <w:t xml:space="preserve">=449.581.090 </w:t>
      </w:r>
      <w:r w:rsidRPr="003466C3">
        <w:rPr>
          <w:rFonts w:asciiTheme="minorHAnsi" w:hAnsiTheme="minorHAnsi"/>
        </w:rPr>
        <w:t>i</w:t>
      </w:r>
    </w:p>
    <w:p w:rsidR="00DB4621" w:rsidRPr="003466C3" w:rsidRDefault="00B2521E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Ostalih vlastitih izvora AOP 227 =102.104.40</w:t>
      </w:r>
      <w:r w:rsidR="00DB4621" w:rsidRPr="003466C3">
        <w:rPr>
          <w:rFonts w:asciiTheme="minorHAnsi" w:hAnsiTheme="minorHAnsi"/>
        </w:rPr>
        <w:t>0 kn sadrže vlasničke udjele ( obrazloženo u bilješkama uz vlasničke udjele).</w:t>
      </w:r>
    </w:p>
    <w:p w:rsidR="00AC63CC" w:rsidRPr="003466C3" w:rsidRDefault="00AC63CC" w:rsidP="00E164BE">
      <w:pPr>
        <w:jc w:val="both"/>
        <w:rPr>
          <w:rFonts w:asciiTheme="minorHAnsi" w:hAnsiTheme="minorHAnsi"/>
        </w:rPr>
      </w:pPr>
    </w:p>
    <w:p w:rsidR="00DB4621" w:rsidRPr="003466C3" w:rsidRDefault="00DB4621" w:rsidP="00E164BE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Ispravak v</w:t>
      </w:r>
      <w:r w:rsidR="00B2521E">
        <w:rPr>
          <w:rFonts w:asciiTheme="minorHAnsi" w:hAnsiTheme="minorHAnsi"/>
        </w:rPr>
        <w:t>l</w:t>
      </w:r>
      <w:r w:rsidR="0010359A">
        <w:rPr>
          <w:rFonts w:asciiTheme="minorHAnsi" w:hAnsiTheme="minorHAnsi"/>
        </w:rPr>
        <w:t>astitih izvora za obveze AOP 228</w:t>
      </w:r>
      <w:r w:rsidR="00B2521E">
        <w:rPr>
          <w:rFonts w:asciiTheme="minorHAnsi" w:hAnsiTheme="minorHAnsi"/>
        </w:rPr>
        <w:t xml:space="preserve"> iznosi 152</w:t>
      </w:r>
      <w:r w:rsidRPr="003466C3">
        <w:rPr>
          <w:rFonts w:asciiTheme="minorHAnsi" w:hAnsiTheme="minorHAnsi"/>
        </w:rPr>
        <w:t>.</w:t>
      </w:r>
      <w:r w:rsidR="00B2521E">
        <w:rPr>
          <w:rFonts w:asciiTheme="minorHAnsi" w:hAnsiTheme="minorHAnsi"/>
        </w:rPr>
        <w:t>933</w:t>
      </w:r>
      <w:r w:rsidRPr="003466C3">
        <w:rPr>
          <w:rFonts w:asciiTheme="minorHAnsi" w:hAnsiTheme="minorHAnsi"/>
        </w:rPr>
        <w:t xml:space="preserve"> kn i odnosi se na leasing za kamion čistilicu.</w:t>
      </w:r>
    </w:p>
    <w:p w:rsidR="00DB4621" w:rsidRPr="003466C3" w:rsidRDefault="00DB4621" w:rsidP="00E164BE">
      <w:pPr>
        <w:jc w:val="both"/>
        <w:rPr>
          <w:rFonts w:asciiTheme="minorHAnsi" w:hAnsiTheme="minorHAnsi"/>
        </w:rPr>
      </w:pPr>
    </w:p>
    <w:p w:rsidR="00E00DDD" w:rsidRDefault="00B2521E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Višak prihoda </w:t>
      </w:r>
      <w:r w:rsidR="00830770">
        <w:rPr>
          <w:rFonts w:asciiTheme="minorHAnsi" w:hAnsiTheme="minorHAnsi"/>
        </w:rPr>
        <w:t xml:space="preserve">poslovanja </w:t>
      </w:r>
      <w:r w:rsidR="00792455">
        <w:rPr>
          <w:rFonts w:asciiTheme="minorHAnsi" w:hAnsiTheme="minorHAnsi"/>
        </w:rPr>
        <w:t>AOP 233</w:t>
      </w:r>
      <w:r>
        <w:rPr>
          <w:rFonts w:asciiTheme="minorHAnsi" w:hAnsiTheme="minorHAnsi"/>
        </w:rPr>
        <w:t xml:space="preserve"> iznosi 18</w:t>
      </w:r>
      <w:r w:rsidR="00E00DDD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924</w:t>
      </w:r>
      <w:r w:rsidR="00E00DDD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698</w:t>
      </w:r>
      <w:r w:rsidR="00E00DDD" w:rsidRPr="003466C3">
        <w:rPr>
          <w:rFonts w:asciiTheme="minorHAnsi" w:hAnsiTheme="minorHAnsi"/>
        </w:rPr>
        <w:t xml:space="preserve"> kn nakon sprovedene raspod</w:t>
      </w:r>
      <w:r>
        <w:rPr>
          <w:rFonts w:asciiTheme="minorHAnsi" w:hAnsiTheme="minorHAnsi"/>
        </w:rPr>
        <w:t>jele rezultata po odluci za 2016</w:t>
      </w:r>
      <w:r w:rsidR="00E00DDD" w:rsidRPr="003466C3">
        <w:rPr>
          <w:rFonts w:asciiTheme="minorHAnsi" w:hAnsiTheme="minorHAnsi"/>
        </w:rPr>
        <w:t>.godinu, prebijanja viškova i manjkova te izvršenih korekcija na kraju godine:</w:t>
      </w:r>
    </w:p>
    <w:tbl>
      <w:tblPr>
        <w:tblW w:w="9430" w:type="dxa"/>
        <w:tblInd w:w="96" w:type="dxa"/>
        <w:tblLook w:val="04A0"/>
      </w:tblPr>
      <w:tblGrid>
        <w:gridCol w:w="1358"/>
        <w:gridCol w:w="1154"/>
        <w:gridCol w:w="3062"/>
        <w:gridCol w:w="1548"/>
        <w:gridCol w:w="1265"/>
        <w:gridCol w:w="1265"/>
      </w:tblGrid>
      <w:tr w:rsidR="00B2521E" w:rsidRPr="00B2521E" w:rsidTr="00B2521E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28.645.218,14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491.545,15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2.1.2017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Ispravka upl.komun.Nird iz 2013.g.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-41.732,93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Raspodjela rezultata za 2016.god.po Odluci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17.538.335,87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Prijenos viška prihoda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10.054.056,46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Prebijanje manjkova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338.612,51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249.500,00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1.200.390,35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547.550,00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20.224.388,73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39.149.086,82</w:t>
            </w:r>
          </w:p>
        </w:tc>
      </w:tr>
      <w:tr w:rsidR="00B2521E" w:rsidRPr="00B2521E" w:rsidTr="00B2521E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2521E" w:rsidRPr="00B2521E" w:rsidRDefault="00B2521E" w:rsidP="00B2521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B2521E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18.924.698</w:t>
            </w:r>
          </w:p>
        </w:tc>
      </w:tr>
    </w:tbl>
    <w:p w:rsidR="00B2521E" w:rsidRPr="003466C3" w:rsidRDefault="00B2521E" w:rsidP="00E164BE">
      <w:pPr>
        <w:jc w:val="both"/>
        <w:rPr>
          <w:rFonts w:asciiTheme="minorHAnsi" w:hAnsiTheme="minorHAnsi"/>
        </w:rPr>
      </w:pPr>
    </w:p>
    <w:p w:rsidR="00415F5D" w:rsidRDefault="00341EE2" w:rsidP="003466C3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Manjak prihoda </w:t>
      </w:r>
      <w:r w:rsidR="00830770">
        <w:rPr>
          <w:rFonts w:asciiTheme="minorHAnsi" w:hAnsiTheme="minorHAnsi"/>
        </w:rPr>
        <w:t>od nefinancijske imovine AOP 238 iznosi 15</w:t>
      </w:r>
      <w:r w:rsidR="00CA6C45" w:rsidRPr="003466C3">
        <w:rPr>
          <w:rFonts w:asciiTheme="minorHAnsi" w:hAnsiTheme="minorHAnsi"/>
        </w:rPr>
        <w:t>.</w:t>
      </w:r>
      <w:r w:rsidR="00830770">
        <w:rPr>
          <w:rFonts w:asciiTheme="minorHAnsi" w:hAnsiTheme="minorHAnsi"/>
        </w:rPr>
        <w:t>636</w:t>
      </w:r>
      <w:r w:rsidR="00CA6C45" w:rsidRPr="003466C3">
        <w:rPr>
          <w:rFonts w:asciiTheme="minorHAnsi" w:hAnsiTheme="minorHAnsi"/>
        </w:rPr>
        <w:t>.</w:t>
      </w:r>
      <w:r w:rsidR="00830770">
        <w:rPr>
          <w:rFonts w:asciiTheme="minorHAnsi" w:hAnsiTheme="minorHAnsi"/>
        </w:rPr>
        <w:t>974</w:t>
      </w:r>
      <w:r w:rsidR="00CA6C45" w:rsidRPr="003466C3">
        <w:rPr>
          <w:rFonts w:asciiTheme="minorHAnsi" w:hAnsiTheme="minorHAnsi"/>
        </w:rPr>
        <w:t xml:space="preserve"> kn nakon sprovedene raspod</w:t>
      </w:r>
      <w:r w:rsidR="00830770">
        <w:rPr>
          <w:rFonts w:asciiTheme="minorHAnsi" w:hAnsiTheme="minorHAnsi"/>
        </w:rPr>
        <w:t>jele rezultata po odluci za 2016</w:t>
      </w:r>
      <w:r w:rsidR="00CA6C45" w:rsidRPr="003466C3">
        <w:rPr>
          <w:rFonts w:asciiTheme="minorHAnsi" w:hAnsiTheme="minorHAnsi"/>
        </w:rPr>
        <w:t>.godinu</w:t>
      </w:r>
      <w:r w:rsidR="00CA359E" w:rsidRPr="003466C3">
        <w:rPr>
          <w:rFonts w:asciiTheme="minorHAnsi" w:hAnsiTheme="minorHAnsi"/>
        </w:rPr>
        <w:t xml:space="preserve">, prebijanja </w:t>
      </w:r>
      <w:r w:rsidR="00CA6C45" w:rsidRPr="003466C3">
        <w:rPr>
          <w:rFonts w:asciiTheme="minorHAnsi" w:hAnsiTheme="minorHAnsi"/>
        </w:rPr>
        <w:t xml:space="preserve"> manjkova te izvršenih </w:t>
      </w:r>
      <w:r w:rsidR="006A079A" w:rsidRPr="003466C3">
        <w:rPr>
          <w:rFonts w:asciiTheme="minorHAnsi" w:hAnsiTheme="minorHAnsi"/>
        </w:rPr>
        <w:t xml:space="preserve">obveznih </w:t>
      </w:r>
      <w:r w:rsidR="00CA6C45" w:rsidRPr="003466C3">
        <w:rPr>
          <w:rFonts w:asciiTheme="minorHAnsi" w:hAnsiTheme="minorHAnsi"/>
        </w:rPr>
        <w:t>korekcija na kraju godine</w:t>
      </w:r>
      <w:r w:rsidR="006A079A" w:rsidRPr="003466C3">
        <w:rPr>
          <w:rFonts w:asciiTheme="minorHAnsi" w:hAnsiTheme="minorHAnsi"/>
        </w:rPr>
        <w:t xml:space="preserve"> za primljene kapitalne pomoći i donacije</w:t>
      </w:r>
      <w:r w:rsidR="00CA6C45" w:rsidRPr="003466C3">
        <w:rPr>
          <w:rFonts w:asciiTheme="minorHAnsi" w:hAnsiTheme="minorHAnsi"/>
        </w:rPr>
        <w:t>:</w:t>
      </w:r>
    </w:p>
    <w:p w:rsidR="00C47365" w:rsidRDefault="00C47365" w:rsidP="003466C3">
      <w:pPr>
        <w:jc w:val="both"/>
        <w:rPr>
          <w:rFonts w:asciiTheme="minorHAnsi" w:hAnsiTheme="minorHAnsi"/>
        </w:rPr>
      </w:pPr>
    </w:p>
    <w:tbl>
      <w:tblPr>
        <w:tblW w:w="9430" w:type="dxa"/>
        <w:tblInd w:w="96" w:type="dxa"/>
        <w:tblLook w:val="04A0"/>
      </w:tblPr>
      <w:tblGrid>
        <w:gridCol w:w="1358"/>
        <w:gridCol w:w="1154"/>
        <w:gridCol w:w="3062"/>
        <w:gridCol w:w="1548"/>
        <w:gridCol w:w="1265"/>
        <w:gridCol w:w="1265"/>
      </w:tblGrid>
      <w:tr w:rsidR="00830770" w:rsidRPr="00830770" w:rsidTr="00830770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17.580.068,80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2.1.2017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Ispravka upl.komun.Nird iz 2013.g.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-41.732,93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Raspodjela rezultata za 2016.god.po Odluci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17.538.335,87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Manjak prih.od nefinan.imovine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17.984.414,00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Manjak prihoda od financijske imovine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'9222300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338.612,51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Prebijanje manjkova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'9222300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338.612,51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249.500,00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1.200.390,35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547.550,00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35.861.362,38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20.224.388,73</w:t>
            </w:r>
          </w:p>
        </w:tc>
      </w:tr>
      <w:tr w:rsidR="00830770" w:rsidRPr="00830770" w:rsidTr="00830770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15.636.973,65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30770" w:rsidRPr="00830770" w:rsidRDefault="00830770" w:rsidP="0083077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830770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830770" w:rsidRPr="00C47365" w:rsidRDefault="00830770" w:rsidP="003466C3">
      <w:pPr>
        <w:jc w:val="both"/>
        <w:rPr>
          <w:rFonts w:asciiTheme="minorHAnsi" w:hAnsiTheme="minorHAnsi"/>
          <w:sz w:val="18"/>
          <w:szCs w:val="18"/>
        </w:rPr>
      </w:pPr>
    </w:p>
    <w:p w:rsidR="00415F5D" w:rsidRPr="00C47365" w:rsidRDefault="00E05775" w:rsidP="00E05775">
      <w:pPr>
        <w:jc w:val="both"/>
        <w:rPr>
          <w:rFonts w:asciiTheme="minorHAnsi" w:hAnsiTheme="minorHAnsi"/>
          <w:color w:val="FF0000"/>
        </w:rPr>
      </w:pPr>
      <w:r w:rsidRPr="003466C3">
        <w:rPr>
          <w:rFonts w:asciiTheme="minorHAnsi" w:hAnsiTheme="minorHAnsi"/>
        </w:rPr>
        <w:t>Obrač</w:t>
      </w:r>
      <w:r w:rsidR="00C47365">
        <w:rPr>
          <w:rFonts w:asciiTheme="minorHAnsi" w:hAnsiTheme="minorHAnsi"/>
        </w:rPr>
        <w:t>unati prihodi poslovanja AOP 240 iznose 53</w:t>
      </w:r>
      <w:r w:rsidRPr="003466C3">
        <w:rPr>
          <w:rFonts w:asciiTheme="minorHAnsi" w:hAnsiTheme="minorHAnsi"/>
        </w:rPr>
        <w:t>.</w:t>
      </w:r>
      <w:r w:rsidR="00C47365">
        <w:rPr>
          <w:rFonts w:asciiTheme="minorHAnsi" w:hAnsiTheme="minorHAnsi"/>
        </w:rPr>
        <w:t>326</w:t>
      </w:r>
      <w:r w:rsidRPr="003466C3">
        <w:rPr>
          <w:rFonts w:asciiTheme="minorHAnsi" w:hAnsiTheme="minorHAnsi"/>
        </w:rPr>
        <w:t>.</w:t>
      </w:r>
      <w:r w:rsidR="00C47365">
        <w:rPr>
          <w:rFonts w:asciiTheme="minorHAnsi" w:hAnsiTheme="minorHAnsi"/>
        </w:rPr>
        <w:t>248 kn što je za 7,2</w:t>
      </w:r>
      <w:r w:rsidRPr="003466C3">
        <w:rPr>
          <w:rFonts w:asciiTheme="minorHAnsi" w:hAnsiTheme="minorHAnsi"/>
        </w:rPr>
        <w:t>% manje nego na početku razdoblja</w:t>
      </w:r>
      <w:r w:rsidR="00792455">
        <w:rPr>
          <w:rFonts w:asciiTheme="minorHAnsi" w:hAnsiTheme="minorHAnsi"/>
        </w:rPr>
        <w:t>.</w:t>
      </w:r>
    </w:p>
    <w:p w:rsidR="00DA6694" w:rsidRPr="00C47365" w:rsidRDefault="00DA6694" w:rsidP="00E05775">
      <w:pPr>
        <w:jc w:val="both"/>
        <w:rPr>
          <w:rFonts w:asciiTheme="minorHAnsi" w:hAnsiTheme="minorHAnsi"/>
          <w:color w:val="FF0000"/>
        </w:rPr>
      </w:pPr>
    </w:p>
    <w:p w:rsidR="00DA6694" w:rsidRPr="003466C3" w:rsidRDefault="00DA6694" w:rsidP="00E05775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Izvanbilančni zapisi</w:t>
      </w:r>
      <w:r w:rsidR="00FF0059">
        <w:rPr>
          <w:rFonts w:asciiTheme="minorHAnsi" w:hAnsiTheme="minorHAnsi"/>
        </w:rPr>
        <w:t xml:space="preserve"> AOP 243</w:t>
      </w:r>
      <w:r w:rsidR="00792455">
        <w:rPr>
          <w:rFonts w:asciiTheme="minorHAnsi" w:hAnsiTheme="minorHAnsi"/>
        </w:rPr>
        <w:t>, 244 i 245</w:t>
      </w:r>
      <w:r w:rsidR="00B97F70" w:rsidRPr="003466C3">
        <w:rPr>
          <w:rFonts w:asciiTheme="minorHAnsi" w:hAnsiTheme="minorHAnsi"/>
        </w:rPr>
        <w:t xml:space="preserve"> su obrazloženi u bilješ</w:t>
      </w:r>
      <w:r w:rsidRPr="003466C3">
        <w:rPr>
          <w:rFonts w:asciiTheme="minorHAnsi" w:hAnsiTheme="minorHAnsi"/>
        </w:rPr>
        <w:t>kama uz izvanbilančne zapise.</w:t>
      </w:r>
    </w:p>
    <w:p w:rsidR="00DA6694" w:rsidRPr="003466C3" w:rsidRDefault="00DA6694" w:rsidP="00E05775">
      <w:pPr>
        <w:jc w:val="both"/>
        <w:rPr>
          <w:rFonts w:asciiTheme="minorHAnsi" w:hAnsiTheme="minorHAnsi"/>
        </w:rPr>
      </w:pPr>
    </w:p>
    <w:p w:rsidR="00B73866" w:rsidRPr="003466C3" w:rsidRDefault="00E164BE" w:rsidP="00B73866">
      <w:pPr>
        <w:rPr>
          <w:rFonts w:asciiTheme="minorHAnsi" w:hAnsiTheme="minorHAnsi"/>
          <w:b/>
          <w:u w:val="single"/>
        </w:rPr>
      </w:pPr>
      <w:r w:rsidRPr="003466C3">
        <w:rPr>
          <w:rFonts w:asciiTheme="minorHAnsi" w:hAnsiTheme="minorHAnsi"/>
          <w:b/>
          <w:u w:val="single"/>
        </w:rPr>
        <w:t>V</w:t>
      </w:r>
      <w:r w:rsidR="00B73866" w:rsidRPr="003466C3">
        <w:rPr>
          <w:rFonts w:asciiTheme="minorHAnsi" w:hAnsiTheme="minorHAnsi"/>
          <w:b/>
          <w:u w:val="single"/>
        </w:rPr>
        <w:t xml:space="preserve"> 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="00B73866" w:rsidRPr="003466C3">
        <w:rPr>
          <w:rFonts w:asciiTheme="minorHAnsi" w:hAnsiTheme="minorHAnsi"/>
          <w:b/>
          <w:u w:val="single"/>
        </w:rPr>
        <w:t>BILJEŠKE UZ OBRAZAC OBVEZE</w:t>
      </w:r>
    </w:p>
    <w:p w:rsidR="00EA08AC" w:rsidRPr="003466C3" w:rsidRDefault="00EA08AC">
      <w:pPr>
        <w:rPr>
          <w:rFonts w:asciiTheme="minorHAnsi" w:hAnsiTheme="minorHAnsi"/>
          <w:u w:val="single"/>
        </w:rPr>
      </w:pPr>
    </w:p>
    <w:p w:rsidR="0044522A" w:rsidRPr="003466C3" w:rsidRDefault="0044522A">
      <w:pPr>
        <w:rPr>
          <w:rFonts w:asciiTheme="minorHAnsi" w:hAnsiTheme="minorHAnsi"/>
        </w:rPr>
      </w:pPr>
    </w:p>
    <w:p w:rsidR="0044522A" w:rsidRPr="003466C3" w:rsidRDefault="00F83FA2" w:rsidP="000F0AA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Stanje obveza na 01.01.2017</w:t>
      </w:r>
      <w:r w:rsidR="0044522A" w:rsidRPr="003466C3">
        <w:rPr>
          <w:rFonts w:asciiTheme="minorHAnsi" w:hAnsiTheme="minorHAnsi"/>
        </w:rPr>
        <w:t>. – AOP 001 -</w:t>
      </w:r>
      <w:r w:rsidR="00B831AF" w:rsidRPr="003466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iznosilo je 8</w:t>
      </w:r>
      <w:r w:rsidR="0044522A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982</w:t>
      </w:r>
      <w:r w:rsidR="0044522A" w:rsidRPr="003466C3">
        <w:rPr>
          <w:rFonts w:asciiTheme="minorHAnsi" w:hAnsiTheme="minorHAnsi"/>
        </w:rPr>
        <w:t>.</w:t>
      </w:r>
      <w:r>
        <w:rPr>
          <w:rFonts w:asciiTheme="minorHAnsi" w:hAnsiTheme="minorHAnsi"/>
        </w:rPr>
        <w:t>177 kn a na 31.12.2017. –AOP 036- ukupno 9</w:t>
      </w:r>
      <w:r w:rsidR="0044522A" w:rsidRPr="003466C3">
        <w:rPr>
          <w:rFonts w:asciiTheme="minorHAnsi" w:hAnsiTheme="minorHAnsi"/>
        </w:rPr>
        <w:t>.</w:t>
      </w:r>
      <w:r w:rsidR="00536E5F">
        <w:rPr>
          <w:rFonts w:asciiTheme="minorHAnsi" w:hAnsiTheme="minorHAnsi"/>
        </w:rPr>
        <w:t>704</w:t>
      </w:r>
      <w:r w:rsidR="0044522A" w:rsidRPr="003466C3">
        <w:rPr>
          <w:rFonts w:asciiTheme="minorHAnsi" w:hAnsiTheme="minorHAnsi"/>
        </w:rPr>
        <w:t>.</w:t>
      </w:r>
      <w:r w:rsidR="00536E5F">
        <w:rPr>
          <w:rFonts w:asciiTheme="minorHAnsi" w:hAnsiTheme="minorHAnsi"/>
        </w:rPr>
        <w:t>939</w:t>
      </w:r>
      <w:r w:rsidR="0044522A" w:rsidRPr="003466C3">
        <w:rPr>
          <w:rFonts w:asciiTheme="minorHAnsi" w:hAnsiTheme="minorHAnsi"/>
        </w:rPr>
        <w:t xml:space="preserve"> kn.</w:t>
      </w:r>
    </w:p>
    <w:p w:rsidR="0044522A" w:rsidRPr="003466C3" w:rsidRDefault="0044522A" w:rsidP="000F0AA8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Od toga je veći </w:t>
      </w:r>
      <w:r w:rsidR="00F83FA2">
        <w:rPr>
          <w:rFonts w:asciiTheme="minorHAnsi" w:hAnsiTheme="minorHAnsi"/>
        </w:rPr>
        <w:t>dio nedospjelih obveza – AOP 090</w:t>
      </w:r>
      <w:r w:rsidRPr="003466C3">
        <w:rPr>
          <w:rFonts w:asciiTheme="minorHAnsi" w:hAnsiTheme="minorHAnsi"/>
        </w:rPr>
        <w:t xml:space="preserve"> –</w:t>
      </w:r>
      <w:r w:rsidR="002E4218" w:rsidRPr="003466C3">
        <w:rPr>
          <w:rFonts w:asciiTheme="minorHAnsi" w:hAnsiTheme="minorHAnsi"/>
        </w:rPr>
        <w:t>ukupn</w:t>
      </w:r>
      <w:r w:rsidRPr="003466C3">
        <w:rPr>
          <w:rFonts w:asciiTheme="minorHAnsi" w:hAnsiTheme="minorHAnsi"/>
        </w:rPr>
        <w:t xml:space="preserve">o </w:t>
      </w:r>
      <w:r w:rsidR="007A6DEC" w:rsidRPr="003466C3">
        <w:rPr>
          <w:rFonts w:asciiTheme="minorHAnsi" w:hAnsiTheme="minorHAnsi"/>
        </w:rPr>
        <w:t>8.</w:t>
      </w:r>
      <w:r w:rsidR="00E70C6F">
        <w:rPr>
          <w:rFonts w:asciiTheme="minorHAnsi" w:hAnsiTheme="minorHAnsi"/>
        </w:rPr>
        <w:t>435</w:t>
      </w:r>
      <w:r w:rsidR="007A6DEC" w:rsidRPr="003466C3">
        <w:rPr>
          <w:rFonts w:asciiTheme="minorHAnsi" w:hAnsiTheme="minorHAnsi"/>
        </w:rPr>
        <w:t>.</w:t>
      </w:r>
      <w:r w:rsidR="00E70C6F">
        <w:rPr>
          <w:rFonts w:asciiTheme="minorHAnsi" w:hAnsiTheme="minorHAnsi"/>
        </w:rPr>
        <w:t>66</w:t>
      </w:r>
      <w:r w:rsidR="00D21654">
        <w:rPr>
          <w:rFonts w:asciiTheme="minorHAnsi" w:hAnsiTheme="minorHAnsi"/>
        </w:rPr>
        <w:t>5</w:t>
      </w:r>
      <w:r w:rsidR="00F83FA2">
        <w:rPr>
          <w:rFonts w:asciiTheme="minorHAnsi" w:hAnsiTheme="minorHAnsi"/>
        </w:rPr>
        <w:t xml:space="preserve"> kn a dospjelih – AOP 037</w:t>
      </w:r>
      <w:r w:rsidRPr="003466C3">
        <w:rPr>
          <w:rFonts w:asciiTheme="minorHAnsi" w:hAnsiTheme="minorHAnsi"/>
        </w:rPr>
        <w:t xml:space="preserve"> – ukupno </w:t>
      </w:r>
      <w:r w:rsidR="00F83FA2">
        <w:rPr>
          <w:rFonts w:asciiTheme="minorHAnsi" w:hAnsiTheme="minorHAnsi"/>
        </w:rPr>
        <w:t>1.269</w:t>
      </w:r>
      <w:r w:rsidR="007A6DEC" w:rsidRPr="003466C3">
        <w:rPr>
          <w:rFonts w:asciiTheme="minorHAnsi" w:hAnsiTheme="minorHAnsi"/>
        </w:rPr>
        <w:t>.</w:t>
      </w:r>
      <w:r w:rsidR="00F83FA2">
        <w:rPr>
          <w:rFonts w:asciiTheme="minorHAnsi" w:hAnsiTheme="minorHAnsi"/>
        </w:rPr>
        <w:t>274</w:t>
      </w:r>
      <w:r w:rsidRPr="003466C3">
        <w:rPr>
          <w:rFonts w:asciiTheme="minorHAnsi" w:hAnsiTheme="minorHAnsi"/>
        </w:rPr>
        <w:t xml:space="preserve"> kn.</w:t>
      </w:r>
    </w:p>
    <w:p w:rsidR="00053500" w:rsidRPr="003466C3" w:rsidRDefault="00053500" w:rsidP="000F0AA8">
      <w:pPr>
        <w:jc w:val="both"/>
        <w:rPr>
          <w:rFonts w:asciiTheme="minorHAnsi" w:hAnsiTheme="minorHAnsi"/>
        </w:rPr>
      </w:pPr>
    </w:p>
    <w:p w:rsidR="00B831AF" w:rsidRPr="003466C3" w:rsidRDefault="00B831AF" w:rsidP="000F0AA8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Od dospjelih obveza veliki dio se odnosi na rezervacije po pokrenutim kompenzacijama (Promet d.o.o. Split</w:t>
      </w:r>
      <w:r w:rsidR="00EB2D31">
        <w:rPr>
          <w:rFonts w:asciiTheme="minorHAnsi" w:hAnsiTheme="minorHAnsi"/>
        </w:rPr>
        <w:t>-130</w:t>
      </w:r>
      <w:r w:rsidR="00053500" w:rsidRPr="003466C3">
        <w:rPr>
          <w:rFonts w:asciiTheme="minorHAnsi" w:hAnsiTheme="minorHAnsi"/>
        </w:rPr>
        <w:t>.</w:t>
      </w:r>
      <w:r w:rsidR="00EB2D31">
        <w:rPr>
          <w:rFonts w:asciiTheme="minorHAnsi" w:hAnsiTheme="minorHAnsi"/>
        </w:rPr>
        <w:t>498</w:t>
      </w:r>
      <w:r w:rsidR="00053500" w:rsidRPr="003466C3">
        <w:rPr>
          <w:rFonts w:asciiTheme="minorHAnsi" w:hAnsiTheme="minorHAnsi"/>
        </w:rPr>
        <w:t xml:space="preserve"> kn</w:t>
      </w:r>
      <w:r w:rsidR="00EB2D31">
        <w:rPr>
          <w:rFonts w:asciiTheme="minorHAnsi" w:hAnsiTheme="minorHAnsi"/>
        </w:rPr>
        <w:t xml:space="preserve">; </w:t>
      </w:r>
      <w:r w:rsidRPr="003466C3">
        <w:rPr>
          <w:rFonts w:asciiTheme="minorHAnsi" w:hAnsiTheme="minorHAnsi"/>
        </w:rPr>
        <w:t>...) a ostatak uglavnom po računima koji su u Grad</w:t>
      </w:r>
      <w:r w:rsidR="00F83FA2">
        <w:rPr>
          <w:rFonts w:asciiTheme="minorHAnsi" w:hAnsiTheme="minorHAnsi"/>
        </w:rPr>
        <w:t xml:space="preserve"> prispjeli tijekom siječnja 2018</w:t>
      </w:r>
      <w:r w:rsidRPr="003466C3">
        <w:rPr>
          <w:rFonts w:asciiTheme="minorHAnsi" w:hAnsiTheme="minorHAnsi"/>
        </w:rPr>
        <w:t>.godine ili zaključci</w:t>
      </w:r>
      <w:r w:rsidR="00F83FA2">
        <w:rPr>
          <w:rFonts w:asciiTheme="minorHAnsi" w:hAnsiTheme="minorHAnsi"/>
        </w:rPr>
        <w:t>ma napravljenim nakon 31.12.2017</w:t>
      </w:r>
      <w:r w:rsidRPr="003466C3">
        <w:rPr>
          <w:rFonts w:asciiTheme="minorHAnsi" w:hAnsiTheme="minorHAnsi"/>
        </w:rPr>
        <w:t>. a</w:t>
      </w:r>
      <w:r w:rsidR="00F83FA2">
        <w:rPr>
          <w:rFonts w:asciiTheme="minorHAnsi" w:hAnsiTheme="minorHAnsi"/>
        </w:rPr>
        <w:t xml:space="preserve"> donose se na proračun 2017</w:t>
      </w:r>
      <w:r w:rsidR="00614A24" w:rsidRPr="003466C3">
        <w:rPr>
          <w:rFonts w:asciiTheme="minorHAnsi" w:hAnsiTheme="minorHAnsi"/>
        </w:rPr>
        <w:t>.</w:t>
      </w:r>
      <w:r w:rsidRPr="003466C3">
        <w:rPr>
          <w:rFonts w:asciiTheme="minorHAnsi" w:hAnsiTheme="minorHAnsi"/>
        </w:rPr>
        <w:t xml:space="preserve"> godine.</w:t>
      </w:r>
    </w:p>
    <w:p w:rsidR="00192927" w:rsidRPr="003466C3" w:rsidRDefault="00192927" w:rsidP="000F0AA8">
      <w:pPr>
        <w:jc w:val="both"/>
        <w:rPr>
          <w:rFonts w:asciiTheme="minorHAnsi" w:hAnsiTheme="minorHAnsi"/>
        </w:rPr>
      </w:pPr>
    </w:p>
    <w:p w:rsidR="00CA2156" w:rsidRPr="003466C3" w:rsidRDefault="00233818" w:rsidP="000F0AA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nedospjele obveze spadaju</w:t>
      </w:r>
      <w:r w:rsidR="00CA2156" w:rsidRPr="003466C3">
        <w:rPr>
          <w:rFonts w:asciiTheme="minorHAnsi" w:hAnsiTheme="minorHAnsi"/>
        </w:rPr>
        <w:t>:</w:t>
      </w:r>
    </w:p>
    <w:p w:rsidR="00CA2156" w:rsidRDefault="00CA2156" w:rsidP="00CA215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3466C3">
        <w:rPr>
          <w:rFonts w:cs="Times New Roman"/>
        </w:rPr>
        <w:t>Obveze prema proračunskim korisnicima Grada čija sredstva se uplaćuju u riznicu</w:t>
      </w:r>
      <w:r w:rsidR="00FF15A0">
        <w:rPr>
          <w:rFonts w:cs="Times New Roman"/>
        </w:rPr>
        <w:t xml:space="preserve"> –ukupno 1</w:t>
      </w:r>
      <w:r w:rsidR="004D6AE2" w:rsidRPr="003466C3">
        <w:rPr>
          <w:rFonts w:cs="Times New Roman"/>
        </w:rPr>
        <w:t>.</w:t>
      </w:r>
      <w:r w:rsidR="00FF15A0">
        <w:rPr>
          <w:rFonts w:cs="Times New Roman"/>
        </w:rPr>
        <w:t>547</w:t>
      </w:r>
      <w:r w:rsidR="004D6AE2" w:rsidRPr="003466C3">
        <w:rPr>
          <w:rFonts w:cs="Times New Roman"/>
        </w:rPr>
        <w:t>.</w:t>
      </w:r>
      <w:r w:rsidR="00FF15A0">
        <w:rPr>
          <w:rFonts w:cs="Times New Roman"/>
        </w:rPr>
        <w:t>021,57 kn</w:t>
      </w:r>
      <w:r w:rsidRPr="003466C3">
        <w:rPr>
          <w:rFonts w:cs="Times New Roman"/>
        </w:rPr>
        <w:t xml:space="preserve"> i to kako slijedi: </w:t>
      </w:r>
    </w:p>
    <w:tbl>
      <w:tblPr>
        <w:tblW w:w="5101" w:type="dxa"/>
        <w:tblInd w:w="1788" w:type="dxa"/>
        <w:tblLook w:val="04A0"/>
      </w:tblPr>
      <w:tblGrid>
        <w:gridCol w:w="3707"/>
        <w:gridCol w:w="1394"/>
      </w:tblGrid>
      <w:tr w:rsidR="00FF15A0" w:rsidRPr="00FF15A0" w:rsidTr="00FF15A0">
        <w:trPr>
          <w:trHeight w:val="30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F15A0" w:rsidRPr="00FF15A0" w:rsidRDefault="00FF15A0" w:rsidP="00FF15A0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FF15A0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F15A0" w:rsidRPr="00FF15A0" w:rsidRDefault="00FF15A0" w:rsidP="00FF15A0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FF15A0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FF15A0" w:rsidRPr="00FF15A0" w:rsidTr="00FF15A0">
        <w:trPr>
          <w:trHeight w:val="30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MUZEJ GRADA KAŠTELA-K.LUKŠIĆ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144.318,90</w:t>
            </w:r>
          </w:p>
        </w:tc>
      </w:tr>
      <w:tr w:rsidR="00FF15A0" w:rsidRPr="00FF15A0" w:rsidTr="00FF15A0">
        <w:trPr>
          <w:trHeight w:val="30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DJEČJI VRTIĆ KAŠTELA-K.STARI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1.058.033,12</w:t>
            </w:r>
          </w:p>
        </w:tc>
      </w:tr>
      <w:tr w:rsidR="00FF15A0" w:rsidRPr="00FF15A0" w:rsidTr="00FF15A0">
        <w:trPr>
          <w:trHeight w:val="30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ŠPORTSKI OBJEKTI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166.183,21</w:t>
            </w:r>
          </w:p>
        </w:tc>
      </w:tr>
      <w:tr w:rsidR="00FF15A0" w:rsidRPr="00FF15A0" w:rsidTr="00FF15A0">
        <w:trPr>
          <w:trHeight w:val="30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A0" w:rsidRPr="008A026D" w:rsidRDefault="00FF15A0" w:rsidP="00FF15A0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178.486,34</w:t>
            </w:r>
          </w:p>
        </w:tc>
      </w:tr>
      <w:tr w:rsidR="00FF15A0" w:rsidRPr="00FF15A0" w:rsidTr="00FF15A0">
        <w:trPr>
          <w:trHeight w:val="30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F15A0" w:rsidRPr="00FF15A0" w:rsidRDefault="00FF15A0" w:rsidP="00FF15A0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FF15A0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F15A0" w:rsidRPr="00FF15A0" w:rsidRDefault="00FF15A0" w:rsidP="00FF15A0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FF15A0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1.547.021,57</w:t>
            </w:r>
          </w:p>
        </w:tc>
      </w:tr>
    </w:tbl>
    <w:p w:rsidR="00FF15A0" w:rsidRDefault="00FF15A0" w:rsidP="00FF15A0">
      <w:pPr>
        <w:jc w:val="both"/>
      </w:pPr>
    </w:p>
    <w:p w:rsidR="00235AB4" w:rsidRDefault="00235AB4" w:rsidP="00235AB4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3466C3">
        <w:rPr>
          <w:rFonts w:cs="Times New Roman"/>
        </w:rPr>
        <w:t>Obveze za financijsku imovinu –leasin</w:t>
      </w:r>
      <w:r w:rsidR="00051911">
        <w:rPr>
          <w:rFonts w:cs="Times New Roman"/>
        </w:rPr>
        <w:t>g za kamion čistilicu ukupno 152</w:t>
      </w:r>
      <w:r w:rsidRPr="003466C3">
        <w:rPr>
          <w:rFonts w:cs="Times New Roman"/>
        </w:rPr>
        <w:t>.</w:t>
      </w:r>
      <w:r w:rsidR="00051911">
        <w:rPr>
          <w:rFonts w:cs="Times New Roman"/>
        </w:rPr>
        <w:t>933</w:t>
      </w:r>
      <w:r w:rsidRPr="003466C3">
        <w:rPr>
          <w:rFonts w:cs="Times New Roman"/>
        </w:rPr>
        <w:t xml:space="preserve"> kn</w:t>
      </w:r>
    </w:p>
    <w:p w:rsidR="00CE1E93" w:rsidRDefault="00CE1E93" w:rsidP="00CE1E93">
      <w:pPr>
        <w:pStyle w:val="ListParagraph"/>
        <w:jc w:val="both"/>
        <w:rPr>
          <w:rFonts w:cs="Times New Roman"/>
        </w:rPr>
      </w:pPr>
    </w:p>
    <w:p w:rsidR="00235AB4" w:rsidRPr="003466C3" w:rsidRDefault="00235AB4" w:rsidP="00235AB4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3466C3">
        <w:rPr>
          <w:rFonts w:cs="Times New Roman"/>
        </w:rPr>
        <w:t xml:space="preserve">Ostale obveze </w:t>
      </w:r>
      <w:r w:rsidR="00976589" w:rsidRPr="003466C3">
        <w:rPr>
          <w:rFonts w:cs="Times New Roman"/>
        </w:rPr>
        <w:t xml:space="preserve">sa valutom u </w:t>
      </w:r>
      <w:r w:rsidR="00B248B5">
        <w:rPr>
          <w:rFonts w:cs="Times New Roman"/>
        </w:rPr>
        <w:t>2018</w:t>
      </w:r>
      <w:r w:rsidR="00976589" w:rsidRPr="003466C3">
        <w:rPr>
          <w:rFonts w:cs="Times New Roman"/>
        </w:rPr>
        <w:t>.godini</w:t>
      </w:r>
      <w:r w:rsidRPr="003466C3">
        <w:rPr>
          <w:rFonts w:cs="Times New Roman"/>
        </w:rPr>
        <w:t>:</w:t>
      </w:r>
    </w:p>
    <w:p w:rsidR="00EB2D31" w:rsidRDefault="00235AB4" w:rsidP="00235AB4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3466C3">
        <w:rPr>
          <w:rFonts w:cs="Times New Roman"/>
        </w:rPr>
        <w:t>Za rashode poslovanja</w:t>
      </w:r>
      <w:r w:rsidR="00EB2D31">
        <w:rPr>
          <w:rFonts w:cs="Times New Roman"/>
        </w:rPr>
        <w:tab/>
        <w:t>4</w:t>
      </w:r>
      <w:r w:rsidR="00976589" w:rsidRPr="003466C3">
        <w:rPr>
          <w:rFonts w:cs="Times New Roman"/>
        </w:rPr>
        <w:t>.</w:t>
      </w:r>
      <w:r w:rsidR="00EB2D31">
        <w:rPr>
          <w:rFonts w:cs="Times New Roman"/>
        </w:rPr>
        <w:t>937</w:t>
      </w:r>
      <w:r w:rsidR="00976589" w:rsidRPr="003466C3">
        <w:rPr>
          <w:rFonts w:cs="Times New Roman"/>
        </w:rPr>
        <w:t>.</w:t>
      </w:r>
      <w:r w:rsidR="00EB2D31">
        <w:rPr>
          <w:rFonts w:cs="Times New Roman"/>
        </w:rPr>
        <w:t>984</w:t>
      </w:r>
      <w:r w:rsidR="00976589" w:rsidRPr="003466C3">
        <w:rPr>
          <w:rFonts w:cs="Times New Roman"/>
        </w:rPr>
        <w:t xml:space="preserve"> kn </w:t>
      </w:r>
      <w:r w:rsidR="00EB2D31">
        <w:rPr>
          <w:rFonts w:cs="Times New Roman"/>
        </w:rPr>
        <w:t xml:space="preserve"> od čega su veći navedeni u tabeli:</w:t>
      </w:r>
    </w:p>
    <w:tbl>
      <w:tblPr>
        <w:tblW w:w="8235" w:type="dxa"/>
        <w:tblInd w:w="95" w:type="dxa"/>
        <w:tblLook w:val="04A0"/>
      </w:tblPr>
      <w:tblGrid>
        <w:gridCol w:w="5258"/>
        <w:gridCol w:w="2977"/>
      </w:tblGrid>
      <w:tr w:rsidR="00EB2D31" w:rsidRPr="00EB2D31" w:rsidTr="008A026D">
        <w:trPr>
          <w:trHeight w:val="30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B2D31" w:rsidRPr="00EB2D31" w:rsidRDefault="00EB2D31" w:rsidP="00EB2D3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EB2D31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B2D31" w:rsidRPr="00F93615" w:rsidRDefault="00EB2D31" w:rsidP="00EB2D3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F93615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Dugovanje nedospjelo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TOMMY D.O.O.-SPLIT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720.000,00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540.891,83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RIBOLA D.O.O.-K.LUKŠIĆ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525.255,00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MINISTARSTVO FINANCIJA DRŽAVNI PRORAČUN-PDV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491.613,69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GRAĐEVINSKI OBRT PASIKE-TUGARE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324.718,30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PROMET D.O.O.-SPLIT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255.156,00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PRVI TREPTAČ-SPLIT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207.352,52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202.524,38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PROENERGY D.O.O.-ZAGREB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148.356,78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HEP OPSKRBA D.O.O.-ZAGEB (DRUŠTVENE DJELATNOSTI)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78.817,57</w:t>
            </w:r>
          </w:p>
        </w:tc>
      </w:tr>
      <w:tr w:rsidR="00EB2D31" w:rsidRPr="00EB2D31" w:rsidTr="008A026D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31" w:rsidRPr="008A026D" w:rsidRDefault="00EB2D31" w:rsidP="00EB2D31">
            <w:pPr>
              <w:suppressAutoHyphens w:val="0"/>
              <w:jc w:val="right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8A026D">
              <w:rPr>
                <w:rFonts w:ascii="Calibri" w:hAnsi="Calibri"/>
                <w:sz w:val="20"/>
                <w:szCs w:val="20"/>
                <w:lang w:eastAsia="hr-HR"/>
              </w:rPr>
              <w:t>71.724,00</w:t>
            </w:r>
          </w:p>
        </w:tc>
      </w:tr>
    </w:tbl>
    <w:p w:rsidR="006159DD" w:rsidRDefault="006159DD" w:rsidP="006159DD">
      <w:pPr>
        <w:pStyle w:val="ListParagraph"/>
        <w:ind w:left="1440"/>
        <w:jc w:val="both"/>
        <w:rPr>
          <w:rFonts w:cs="Times New Roman"/>
        </w:rPr>
      </w:pPr>
    </w:p>
    <w:p w:rsidR="00CE1E93" w:rsidRPr="00F93615" w:rsidRDefault="00CE1E93" w:rsidP="00CE1E93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F93615">
        <w:rPr>
          <w:rFonts w:cs="Times New Roman"/>
        </w:rPr>
        <w:t>Obveze za EU predujmove- projekt P</w:t>
      </w:r>
      <w:r w:rsidR="00E70C6F" w:rsidRPr="00F93615">
        <w:rPr>
          <w:rFonts w:cs="Times New Roman"/>
        </w:rPr>
        <w:t>erpetuum baštine u iznosu do 315</w:t>
      </w:r>
      <w:r w:rsidRPr="00F93615">
        <w:rPr>
          <w:rFonts w:cs="Times New Roman"/>
        </w:rPr>
        <w:t>.</w:t>
      </w:r>
      <w:r w:rsidR="00E70C6F" w:rsidRPr="00F93615">
        <w:rPr>
          <w:rFonts w:cs="Times New Roman"/>
        </w:rPr>
        <w:t>972</w:t>
      </w:r>
      <w:r w:rsidRPr="00F93615">
        <w:rPr>
          <w:rFonts w:cs="Times New Roman"/>
        </w:rPr>
        <w:t xml:space="preserve"> kn</w:t>
      </w:r>
    </w:p>
    <w:p w:rsidR="00AC63CC" w:rsidRDefault="00235AB4" w:rsidP="003466C3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3466C3">
        <w:rPr>
          <w:rFonts w:cs="Times New Roman"/>
        </w:rPr>
        <w:lastRenderedPageBreak/>
        <w:t>Za nabavku nefinancijske imovine</w:t>
      </w:r>
      <w:r w:rsidR="00051911">
        <w:rPr>
          <w:rFonts w:cs="Times New Roman"/>
        </w:rPr>
        <w:t xml:space="preserve"> </w:t>
      </w:r>
      <w:r w:rsidR="00EB2D31">
        <w:rPr>
          <w:rFonts w:cs="Times New Roman"/>
        </w:rPr>
        <w:t>1</w:t>
      </w:r>
      <w:r w:rsidR="00976589" w:rsidRPr="003466C3">
        <w:rPr>
          <w:rFonts w:cs="Times New Roman"/>
        </w:rPr>
        <w:t>.</w:t>
      </w:r>
      <w:r w:rsidR="00EB2D31">
        <w:rPr>
          <w:rFonts w:cs="Times New Roman"/>
        </w:rPr>
        <w:t>787</w:t>
      </w:r>
      <w:r w:rsidR="00976589" w:rsidRPr="003466C3">
        <w:rPr>
          <w:rFonts w:cs="Times New Roman"/>
        </w:rPr>
        <w:t>.</w:t>
      </w:r>
      <w:r w:rsidR="00EB2D31">
        <w:rPr>
          <w:rFonts w:cs="Times New Roman"/>
        </w:rPr>
        <w:t>802</w:t>
      </w:r>
      <w:r w:rsidR="00976589" w:rsidRPr="003466C3">
        <w:rPr>
          <w:rFonts w:cs="Times New Roman"/>
        </w:rPr>
        <w:t xml:space="preserve"> kn</w:t>
      </w:r>
      <w:r w:rsidR="00F811B5" w:rsidRPr="003466C3">
        <w:rPr>
          <w:rFonts w:cs="Times New Roman"/>
        </w:rPr>
        <w:t xml:space="preserve"> (</w:t>
      </w:r>
      <w:r w:rsidR="00051911">
        <w:rPr>
          <w:rFonts w:cs="Times New Roman"/>
        </w:rPr>
        <w:t>Point-Split d.o.o.-770.678</w:t>
      </w:r>
      <w:r w:rsidR="00F811B5" w:rsidRPr="003466C3">
        <w:rPr>
          <w:rFonts w:cs="Times New Roman"/>
        </w:rPr>
        <w:t xml:space="preserve"> kn; </w:t>
      </w:r>
      <w:r w:rsidR="00051911">
        <w:rPr>
          <w:rFonts w:cs="Times New Roman"/>
        </w:rPr>
        <w:t>Prvi treptač d.o.o.-370.249</w:t>
      </w:r>
      <w:r w:rsidR="00F811B5" w:rsidRPr="003466C3">
        <w:rPr>
          <w:rFonts w:cs="Times New Roman"/>
        </w:rPr>
        <w:t xml:space="preserve"> kn; </w:t>
      </w:r>
      <w:r w:rsidR="00051911">
        <w:rPr>
          <w:rFonts w:cs="Times New Roman"/>
        </w:rPr>
        <w:t>Građenje Split d.o.o.</w:t>
      </w:r>
      <w:r w:rsidR="00F811B5" w:rsidRPr="003466C3">
        <w:rPr>
          <w:rFonts w:cs="Times New Roman"/>
        </w:rPr>
        <w:t xml:space="preserve"> – </w:t>
      </w:r>
      <w:r w:rsidR="00051911">
        <w:rPr>
          <w:rFonts w:cs="Times New Roman"/>
        </w:rPr>
        <w:t>305.251</w:t>
      </w:r>
      <w:r w:rsidR="00F811B5" w:rsidRPr="003466C3">
        <w:rPr>
          <w:rFonts w:cs="Times New Roman"/>
        </w:rPr>
        <w:t xml:space="preserve"> kn; </w:t>
      </w:r>
      <w:r w:rsidR="00051911">
        <w:rPr>
          <w:rFonts w:cs="Times New Roman"/>
        </w:rPr>
        <w:t>GIS plan d.o.o. -117.000</w:t>
      </w:r>
      <w:r w:rsidR="00F811B5" w:rsidRPr="003466C3">
        <w:rPr>
          <w:rFonts w:cs="Times New Roman"/>
        </w:rPr>
        <w:t xml:space="preserve"> kn; ....)</w:t>
      </w:r>
    </w:p>
    <w:p w:rsidR="00535D92" w:rsidRPr="003466C3" w:rsidRDefault="00535D92" w:rsidP="00535D92">
      <w:pPr>
        <w:pStyle w:val="ListParagraph"/>
        <w:ind w:left="1440"/>
        <w:jc w:val="both"/>
        <w:rPr>
          <w:rFonts w:cs="Times New Roman"/>
        </w:rPr>
      </w:pPr>
    </w:p>
    <w:p w:rsidR="00EB200D" w:rsidRPr="003466C3" w:rsidRDefault="00EB200D">
      <w:pPr>
        <w:rPr>
          <w:rFonts w:asciiTheme="minorHAnsi" w:hAnsiTheme="minorHAnsi"/>
        </w:rPr>
      </w:pPr>
      <w:r w:rsidRPr="003466C3">
        <w:rPr>
          <w:rFonts w:asciiTheme="minorHAnsi" w:hAnsiTheme="minorHAnsi"/>
          <w:b/>
          <w:u w:val="single"/>
        </w:rPr>
        <w:t>V</w:t>
      </w:r>
      <w:r w:rsidR="00E164BE" w:rsidRPr="003466C3">
        <w:rPr>
          <w:rFonts w:asciiTheme="minorHAnsi" w:hAnsiTheme="minorHAnsi"/>
          <w:b/>
          <w:u w:val="single"/>
        </w:rPr>
        <w:t>I</w:t>
      </w:r>
      <w:r w:rsidRPr="003466C3">
        <w:rPr>
          <w:rFonts w:asciiTheme="minorHAnsi" w:hAnsiTheme="minorHAnsi"/>
          <w:b/>
          <w:u w:val="single"/>
        </w:rPr>
        <w:t xml:space="preserve"> 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Pr="003466C3">
        <w:rPr>
          <w:rFonts w:asciiTheme="minorHAnsi" w:hAnsiTheme="minorHAnsi"/>
          <w:b/>
          <w:u w:val="single"/>
        </w:rPr>
        <w:t>BILJEŠKE UZ IZVANBILANČNE ZAPISE</w:t>
      </w:r>
    </w:p>
    <w:p w:rsidR="00EB200D" w:rsidRPr="003466C3" w:rsidRDefault="00EB200D">
      <w:pPr>
        <w:rPr>
          <w:rFonts w:asciiTheme="minorHAnsi" w:hAnsiTheme="minorHAnsi"/>
        </w:rPr>
      </w:pPr>
    </w:p>
    <w:p w:rsidR="0054638E" w:rsidRDefault="0054638E" w:rsidP="00AC589B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Ovdje se evidentira tuđa imovina dobivena na korištenje (garancije i instrumenti osiguranja dobiveni za osiguranje obveza po ugovorima) , dana jamstva poslovnim partnerima te instrumenti osiguranja plaćanja (Založno pravno na imovini Kaštelanske rivijere d.d. za nenaplaćena potraživanja).</w:t>
      </w:r>
      <w:r w:rsidR="0037617F">
        <w:rPr>
          <w:rFonts w:asciiTheme="minorHAnsi" w:hAnsiTheme="minorHAnsi"/>
        </w:rPr>
        <w:t xml:space="preserve"> Stanje na 31.12.2017.godine:</w:t>
      </w:r>
    </w:p>
    <w:p w:rsidR="007D26D2" w:rsidRDefault="007D26D2" w:rsidP="00AC589B">
      <w:pPr>
        <w:jc w:val="both"/>
        <w:rPr>
          <w:rFonts w:asciiTheme="minorHAnsi" w:hAnsiTheme="minorHAnsi"/>
        </w:rPr>
      </w:pPr>
    </w:p>
    <w:tbl>
      <w:tblPr>
        <w:tblW w:w="9340" w:type="dxa"/>
        <w:tblInd w:w="95" w:type="dxa"/>
        <w:tblLook w:val="04A0"/>
      </w:tblPr>
      <w:tblGrid>
        <w:gridCol w:w="864"/>
        <w:gridCol w:w="6679"/>
        <w:gridCol w:w="1280"/>
        <w:gridCol w:w="535"/>
      </w:tblGrid>
      <w:tr w:rsidR="007D26D2" w:rsidRPr="007D26D2" w:rsidTr="007D26D2">
        <w:trPr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Šifra 1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D/P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99111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Tuđa imovina dobivena na korištenje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4.321.303,71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28.741,25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178.352,11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81.712,14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PODUZEĆE ZA CESTE SPLIT D.D.-SPLIT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448.575,13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HP HRVATSKA POŠTA D.D.-SPLIT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40.280,25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SVEUČILIŠTE U SPLITU (FAKULTET GRAĐEVINARSTVA, ARHITEKTURE I GEODEZIJE)-SPLIT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83.640,00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PRVI TREPTAČ-SPLIT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286.860,30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GEOGRAPHICA D.O.O.-SPLIT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24.700,00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INNECTO D.O.O.-SPLIT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31.814,38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MERITUM INŽENJERING-SPLIT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26.875,00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VODOPRIVREDA SPLIT D.D.-SPLIT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1.512.739,92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INSTITUT IGH D.D.-ZAGREB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16.150,00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385.848,99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PROENERGY D.O.O.-ZAGREB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162.267,50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101.625,00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IPC D.O.O.-ČAKOVEC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PROFUTURUS D.O.O.-MARIBOR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267.409,84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108.286,80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ASK ATELIER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BUBALO D.O.O.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28.990,10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99121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8.393.146,50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FINA-ZAGREB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INA INDUSTRIJA NAFTE-ZAGREB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MINISTRSTVO REGIONALNOG RAZVOJA I FONDOVA EU-ZAGREB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ERSTE &amp; STEIERMARKISCHES-LEASING D.O.O.-ZAGREB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1.578.146,50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lastRenderedPageBreak/>
              <w:t>99141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Instrumenti osiguranja plaćanja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 xml:space="preserve"> KAŠTELANSKA RIVIJERA D.D.-K.STARI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99611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Tuđa imovina dobivena na korištenje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4.321.303,71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28.741,25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178.352,11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81.712,14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PODUZEĆE ZA CESTE SPLIT D.D.-SPLIT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448.575,13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HP HRVATSKA POŠTA D.D.-SPLIT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40.280,25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SVEUČILIŠTE U SPLITU (FAKULTET GRAĐEVINARSTVA, ARHITEKTURE I GEODEZIJE)-SPLIT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83.640,00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PRVI TREPTAČ-SPLIT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286.860,30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GEOGRAPHICA D.O.O.-SPLIT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24.700,00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INNECTO D.O.O.-SPLIT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31.814,38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MERITUM INŽENJERING-SPLIT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26.875,00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VODOPRIVREDA SPLIT D.D.-SPLIT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1.512.739,92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INSTITUT IGH D.D.-ZAGREB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16.150,00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385.848,99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PROENERGY D.O.O.-ZAGREB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162.267,50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101.625,00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IPC D.O.O.-ČAKOVEC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PROFUTURUS D.O.O.-MARIBOR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267.409,84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108.286,80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ASK ATELIER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BUBALO D.O.O.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28.990,10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99621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8.393.146,50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FINA-ZAGREB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INA INDUSTRIJA NAFTE-ZAGREB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MINISTRSTVO REGIONALNOG RAZVOJA I FONDOVA EU-ZAGREB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ERSTE &amp; STEIERMARKISCHES-LEASING D.O.O.-ZAGREB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1.578.146,50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99641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Instrumenti osiguranja plaćanja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 xml:space="preserve"> KAŠTELANSKA RIVIJERA D.D.-K.STARI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7D26D2" w:rsidRPr="007D26D2" w:rsidTr="007D26D2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26D2" w:rsidRPr="007D26D2" w:rsidRDefault="007D26D2" w:rsidP="007D26D2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7D26D2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:rsidR="007D26D2" w:rsidRPr="007D26D2" w:rsidRDefault="007D26D2" w:rsidP="00AC589B">
      <w:pPr>
        <w:jc w:val="both"/>
        <w:rPr>
          <w:rFonts w:asciiTheme="minorHAnsi" w:hAnsiTheme="minorHAnsi"/>
          <w:sz w:val="20"/>
          <w:szCs w:val="20"/>
        </w:rPr>
      </w:pPr>
    </w:p>
    <w:p w:rsidR="00535D92" w:rsidRDefault="00535D92">
      <w:pPr>
        <w:rPr>
          <w:rFonts w:asciiTheme="minorHAnsi" w:hAnsiTheme="minorHAnsi"/>
        </w:rPr>
      </w:pPr>
    </w:p>
    <w:p w:rsidR="00941496" w:rsidRDefault="000547B5">
      <w:pPr>
        <w:rPr>
          <w:rFonts w:asciiTheme="minorHAnsi" w:hAnsiTheme="minorHAnsi"/>
        </w:rPr>
      </w:pPr>
      <w:r>
        <w:rPr>
          <w:rFonts w:asciiTheme="minorHAnsi" w:hAnsiTheme="minorHAnsi"/>
        </w:rPr>
        <w:t>U izvanbilačne zapise se evidentiraju i sudski sporovi što je obrazloženo u nastavku.</w:t>
      </w:r>
    </w:p>
    <w:p w:rsidR="003B44CE" w:rsidRDefault="003B44CE" w:rsidP="009E30AD">
      <w:pPr>
        <w:rPr>
          <w:rFonts w:asciiTheme="minorHAnsi" w:hAnsiTheme="minorHAnsi"/>
          <w:b/>
          <w:u w:val="single"/>
        </w:rPr>
      </w:pPr>
    </w:p>
    <w:p w:rsidR="00535D92" w:rsidRDefault="00535D92" w:rsidP="009E30AD">
      <w:pPr>
        <w:rPr>
          <w:rFonts w:asciiTheme="minorHAnsi" w:hAnsiTheme="minorHAnsi"/>
          <w:b/>
          <w:u w:val="single"/>
        </w:rPr>
      </w:pPr>
    </w:p>
    <w:p w:rsidR="00535D92" w:rsidRDefault="00535D92" w:rsidP="009E30AD">
      <w:pPr>
        <w:rPr>
          <w:rFonts w:asciiTheme="minorHAnsi" w:hAnsiTheme="minorHAnsi"/>
          <w:b/>
          <w:u w:val="single"/>
        </w:rPr>
      </w:pPr>
    </w:p>
    <w:p w:rsidR="00535D92" w:rsidRPr="003466C3" w:rsidRDefault="00535D92" w:rsidP="009E30AD">
      <w:pPr>
        <w:rPr>
          <w:rFonts w:asciiTheme="minorHAnsi" w:hAnsiTheme="minorHAnsi"/>
          <w:b/>
          <w:u w:val="single"/>
        </w:rPr>
      </w:pPr>
    </w:p>
    <w:p w:rsidR="009E30AD" w:rsidRPr="003466C3" w:rsidRDefault="009E30AD" w:rsidP="009E30AD">
      <w:pPr>
        <w:rPr>
          <w:rFonts w:asciiTheme="minorHAnsi" w:hAnsiTheme="minorHAnsi"/>
          <w:b/>
          <w:u w:val="single"/>
        </w:rPr>
      </w:pPr>
      <w:r w:rsidRPr="003466C3">
        <w:rPr>
          <w:rFonts w:asciiTheme="minorHAnsi" w:hAnsiTheme="minorHAnsi"/>
          <w:b/>
          <w:u w:val="single"/>
        </w:rPr>
        <w:lastRenderedPageBreak/>
        <w:t>V</w:t>
      </w:r>
      <w:r w:rsidR="00E164BE" w:rsidRPr="003466C3">
        <w:rPr>
          <w:rFonts w:asciiTheme="minorHAnsi" w:hAnsiTheme="minorHAnsi"/>
          <w:b/>
          <w:u w:val="single"/>
        </w:rPr>
        <w:t>II</w:t>
      </w:r>
      <w:r w:rsidRPr="003466C3">
        <w:rPr>
          <w:rFonts w:asciiTheme="minorHAnsi" w:hAnsiTheme="minorHAnsi"/>
          <w:b/>
          <w:u w:val="single"/>
        </w:rPr>
        <w:t xml:space="preserve"> 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Pr="003466C3">
        <w:rPr>
          <w:rFonts w:asciiTheme="minorHAnsi" w:hAnsiTheme="minorHAnsi"/>
          <w:b/>
          <w:u w:val="single"/>
        </w:rPr>
        <w:t>BILJEŠKE UZ ČLANAK 14.TOČKA 3.PRAVILNIKA O FIN.IZVJEŠTAVANJU U PRORAČUNSKOM RAČUNOVODSTVU</w:t>
      </w:r>
    </w:p>
    <w:p w:rsidR="009E30AD" w:rsidRPr="003466C3" w:rsidRDefault="009E30AD" w:rsidP="009E30AD">
      <w:pPr>
        <w:rPr>
          <w:rFonts w:asciiTheme="minorHAnsi" w:hAnsiTheme="minorHAnsi"/>
        </w:rPr>
      </w:pPr>
    </w:p>
    <w:p w:rsidR="009E30AD" w:rsidRPr="003466C3" w:rsidRDefault="009E30AD">
      <w:pPr>
        <w:rPr>
          <w:rFonts w:asciiTheme="minorHAnsi" w:hAnsiTheme="minorHAnsi"/>
        </w:rPr>
      </w:pPr>
    </w:p>
    <w:p w:rsidR="009E30AD" w:rsidRPr="003466C3" w:rsidRDefault="00C32094" w:rsidP="0098048D">
      <w:pPr>
        <w:jc w:val="both"/>
        <w:rPr>
          <w:rFonts w:asciiTheme="minorHAnsi" w:hAnsiTheme="minorHAnsi"/>
        </w:rPr>
      </w:pPr>
      <w:r w:rsidRPr="003466C3">
        <w:rPr>
          <w:rFonts w:asciiTheme="minorHAnsi" w:hAnsiTheme="minorHAnsi"/>
        </w:rPr>
        <w:t>U nastavku je p</w:t>
      </w:r>
      <w:r w:rsidR="009E30AD" w:rsidRPr="003466C3">
        <w:rPr>
          <w:rFonts w:asciiTheme="minorHAnsi" w:hAnsiTheme="minorHAnsi"/>
        </w:rPr>
        <w:t>opis sporova</w:t>
      </w:r>
      <w:r w:rsidR="003315A9">
        <w:rPr>
          <w:rFonts w:asciiTheme="minorHAnsi" w:hAnsiTheme="minorHAnsi"/>
        </w:rPr>
        <w:t xml:space="preserve"> na 31.12.2017.godine</w:t>
      </w:r>
      <w:r w:rsidR="009E30AD" w:rsidRPr="003466C3">
        <w:rPr>
          <w:rFonts w:asciiTheme="minorHAnsi" w:hAnsiTheme="minorHAnsi"/>
        </w:rPr>
        <w:t xml:space="preserve"> koji su u tijeku</w:t>
      </w:r>
      <w:r w:rsidRPr="003466C3">
        <w:rPr>
          <w:rFonts w:asciiTheme="minorHAnsi" w:hAnsiTheme="minorHAnsi"/>
        </w:rPr>
        <w:t xml:space="preserve"> a koje </w:t>
      </w:r>
      <w:r w:rsidR="0098048D" w:rsidRPr="003466C3">
        <w:rPr>
          <w:rFonts w:asciiTheme="minorHAnsi" w:hAnsiTheme="minorHAnsi"/>
        </w:rPr>
        <w:t xml:space="preserve">za Grad Kaštela </w:t>
      </w:r>
      <w:r w:rsidRPr="003466C3">
        <w:rPr>
          <w:rFonts w:asciiTheme="minorHAnsi" w:hAnsiTheme="minorHAnsi"/>
        </w:rPr>
        <w:t>vode angažirani odvjetnici</w:t>
      </w:r>
      <w:r w:rsidR="00A933BC">
        <w:rPr>
          <w:rFonts w:asciiTheme="minorHAnsi" w:hAnsiTheme="minorHAnsi"/>
        </w:rPr>
        <w:t>. Popis potencijalnih sporova se također vodi vanbilančno u skupini računa 99</w:t>
      </w:r>
      <w:r w:rsidR="00D411A5">
        <w:rPr>
          <w:rFonts w:asciiTheme="minorHAnsi" w:hAnsiTheme="minorHAnsi"/>
        </w:rPr>
        <w:t xml:space="preserve"> (računi 99151 i 99651-potencijalne obveze po osnovi sudskih sporova</w:t>
      </w:r>
      <w:r w:rsidR="00696CD4">
        <w:rPr>
          <w:rFonts w:asciiTheme="minorHAnsi" w:hAnsiTheme="minorHAnsi"/>
        </w:rPr>
        <w:t xml:space="preserve"> u tijeku</w:t>
      </w:r>
      <w:r w:rsidR="00D411A5">
        <w:rPr>
          <w:rFonts w:asciiTheme="minorHAnsi" w:hAnsiTheme="minorHAnsi"/>
        </w:rPr>
        <w:t>)</w:t>
      </w:r>
      <w:r w:rsidR="00A933BC">
        <w:rPr>
          <w:rFonts w:asciiTheme="minorHAnsi" w:hAnsiTheme="minorHAnsi"/>
        </w:rPr>
        <w:t>:</w:t>
      </w:r>
    </w:p>
    <w:p w:rsidR="009E30AD" w:rsidRDefault="009E30AD">
      <w:pPr>
        <w:rPr>
          <w:rFonts w:asciiTheme="minorHAnsi" w:hAnsiTheme="minorHAnsi"/>
        </w:rPr>
      </w:pPr>
    </w:p>
    <w:tbl>
      <w:tblPr>
        <w:tblW w:w="9793" w:type="dxa"/>
        <w:tblInd w:w="95" w:type="dxa"/>
        <w:tblLook w:val="04A0"/>
      </w:tblPr>
      <w:tblGrid>
        <w:gridCol w:w="464"/>
        <w:gridCol w:w="2384"/>
        <w:gridCol w:w="2126"/>
        <w:gridCol w:w="1506"/>
        <w:gridCol w:w="1322"/>
        <w:gridCol w:w="1991"/>
      </w:tblGrid>
      <w:tr w:rsidR="0057250B" w:rsidRPr="00A572E4" w:rsidTr="00A11044">
        <w:trPr>
          <w:trHeight w:val="450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RB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Tužitelj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Tuženik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VPS-protiv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VPS -za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Predmet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KAŽIMIR BAŠIĆ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229.935,72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I P-1449/94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TUP OSTROG d.o.o.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P-452/00, sada P-63/09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ANTON REMETIN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103.950,00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P-126/00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ANTE ROKOV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P-125/99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MATE BARAČ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P-171/99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VELJKO MARINKOVIĆ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P-338/99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ANTE BAŠIĆ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233.252,00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P-32/10 ( P-62/02)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IVANA GALIĆ i dr.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P-54/99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JOSIP ŠTENGL (sada IRENA KOVAČEVIĆ) i 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Psp-75/14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LJUBA ŠIMIĆ i 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P-424/00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KASJA JOVIČIĆ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P-71/01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JAKOV MATAS – ANTE PERIŠIN i dr.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R1-577/14, R1-213/14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LUCA KUZMANIĆ  i dr.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Pst-1247/12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ANKA BAŠIĆ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P-82/09</w:t>
            </w:r>
          </w:p>
        </w:tc>
      </w:tr>
      <w:tr w:rsidR="0057250B" w:rsidRPr="00A572E4" w:rsidTr="00A11044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both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IVAN BILIŠKOV i dr.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P-101/09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TONKA BRČIĆ i dr.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P-715/05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VEDRAN BILOKAPIĆ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39.000,00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P-352/09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JAKOVAC MARIJA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P-746/99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GORAN ČAČIJA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P-7054/09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MARA BANDIĆ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201.000,00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Pst-245/15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ANĐA MALEŠ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P-33/07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MARTA DRAGUN i dr.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7.000,00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P-10339/15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GRAVIM d.o.o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1.500.000,00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P-411/10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TVRDA STINA SPLIT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81.025,00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R1-754/10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ANTE VULETIN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P-4375/10,  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MARINKO ANDRIĆ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17.044,56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Pnš-201/11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ANTE JURIĆ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O-49/09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ALIL ČEDNA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LUKA LESKUR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10.313,05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Pnš-579/11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IVO I SRĐAN PERA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Pst-1547/11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IVICA SOBIN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201.000,00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Pst-265/12 i Pst-80/12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lastRenderedPageBreak/>
              <w:t>32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MIRJANA KELAM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22.000,00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Pnš-6/14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IVANKA BARIĆ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Pst1037/12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ŽELJKO JURIN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199.225,48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P-552/12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JOSIP KOVAČEVIĆ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450.000,00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Pi-539/12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ZORAN VIŠEVIĆ</w:t>
            </w: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33.500,00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Pnš-593/12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MARIJA MRĐEN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Pst-4/13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MIROSLAV BARAS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Pst-5/13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TELEKOM IZDAVAŠTVO d.o.o. Zagreb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24.354,00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Ovrv-21/15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CCS ULAGANJA d.o.o. Zagreb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30.980.813,34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P-328/2015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MARIN PAPIĆ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44.462,80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Pn-1380/15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MILAN ŠUSTIĆ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Ovr-6258/13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IVAN ŠKOPLJANAC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201.000,00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P-2386/16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NADA MRŠE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 i ViK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P-3470/16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IVAN ĐAKOVIĆ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P-3470/16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JELA PAŠALIĆ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P-2662/2017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ŽELJANA MALENICA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P-257/16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ALEN AŠČIĆ i 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11.000,00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P-4072/16</w:t>
            </w:r>
          </w:p>
        </w:tc>
      </w:tr>
      <w:tr w:rsidR="0057250B" w:rsidRPr="00A572E4" w:rsidTr="00A11044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MATELJAN IVAN i 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935.000,00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Pnš-29/13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PUOVIĆ ANTE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1131/10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BOLJAT MATE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101.000,00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572/09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VUČINA DAVOR i dr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P-5483/16 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BRALIĆ MATKO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44.000,00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P-10055/15 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KOMIS D.O.O.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45.000,00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20/10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MILAN PETAR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P-1168/16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MP BETON D.O.O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1.033.090,90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P-187/14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LUCIJA PAVLOV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83.000,00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9669/09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MARKO PANDŽA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9417/09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VINKO ŽONJA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5.800,00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Pn-589/15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RH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Uslgr-199/14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CLISSA d.o.o.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190.120,00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2796/11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ZORAN PLAZONIĆ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20.100,94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Pnš-497/14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JURE IVKOVIĆ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 285/11</w:t>
            </w:r>
          </w:p>
        </w:tc>
      </w:tr>
      <w:tr w:rsidR="0057250B" w:rsidRPr="00A572E4" w:rsidTr="00A11044">
        <w:trPr>
          <w:trHeight w:val="64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FLIO d.o.o. ( ranije DELKREDERE d.o.o.)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6.746.839,02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1110/09, Gžx-779/13, P-8690/15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SILIĆ JOSIP i dr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101.000,00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804/09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MIJO BRITVIĆ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 53/09, Pst-1143/14 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JOŠKO STIPČIĆ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 3/13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RAVLIĆ SLAVKO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 1449/11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MARKO GUDELJ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P0 102/12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lastRenderedPageBreak/>
              <w:t>22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MARIJA GRGURINOVIĆ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2.500,00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Psp 19/12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HYPO ALPE ADRIA BANK d.d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Ovr 4312/12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STAMAĆ JELENA i 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Pst-1364/2012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ŽUPANIJSKA UPRAVA ZA CESTE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67.597,39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- 1142/11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JURIĆ MILENA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202.000,00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 1461/12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MAJSTOROVIĆ PAVA i 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Pst 741/14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TIM KAŠTELA D.O.O.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1.000.000,00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P-215/15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DIANA MALEŠ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9.740,00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 292/13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MATKOVIĆ IVAN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 125/14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ROBERT KON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Pnš-44/14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Heta asset resolution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216.918,00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P-3627/16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 xml:space="preserve">Vlatko Perak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800.000,00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P-31/16</w:t>
            </w:r>
          </w:p>
        </w:tc>
      </w:tr>
      <w:tr w:rsidR="0057250B" w:rsidRPr="00A572E4" w:rsidTr="00A11044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Dalmacijavino d.d.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280.000,00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P-1043/17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Min.zaštite okoliša i prirode RH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UsI-2494/12-26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Min.zaštite okoliša i prirode RH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UsI-427/15-13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Min.zaštite okoliša i prirode RH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UsI-190/14-15</w:t>
            </w:r>
          </w:p>
        </w:tc>
      </w:tr>
      <w:tr w:rsidR="0057250B" w:rsidRPr="00A572E4" w:rsidTr="00A11044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Min.graditeljstva i prost.uređenja RH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UsI-2775/13</w:t>
            </w:r>
          </w:p>
        </w:tc>
      </w:tr>
      <w:tr w:rsidR="0057250B" w:rsidRPr="00A572E4" w:rsidTr="00A11044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Min.zaštite okoliša i prirode RH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UsI-25/17</w:t>
            </w:r>
          </w:p>
        </w:tc>
      </w:tr>
      <w:tr w:rsidR="0057250B" w:rsidRPr="00A572E4" w:rsidTr="00A11044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Min.zaštite okoliša i prirode RH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neodređeno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UsI-59/17-5</w:t>
            </w:r>
          </w:p>
        </w:tc>
      </w:tr>
      <w:tr w:rsidR="0057250B" w:rsidRPr="00A572E4" w:rsidTr="00A11044">
        <w:trPr>
          <w:trHeight w:val="435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46.345.557,20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648.025,00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250B" w:rsidRPr="00A572E4" w:rsidRDefault="0057250B" w:rsidP="0057250B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:rsidR="0057250B" w:rsidRPr="00A572E4" w:rsidRDefault="0057250B">
      <w:pPr>
        <w:rPr>
          <w:rFonts w:asciiTheme="minorHAnsi" w:hAnsiTheme="minorHAnsi"/>
        </w:rPr>
      </w:pPr>
    </w:p>
    <w:p w:rsidR="006D2028" w:rsidRDefault="006D2028" w:rsidP="0033124F">
      <w:pPr>
        <w:jc w:val="both"/>
        <w:rPr>
          <w:rFonts w:asciiTheme="minorHAnsi" w:hAnsiTheme="minorHAnsi"/>
        </w:rPr>
      </w:pPr>
    </w:p>
    <w:p w:rsidR="0091023F" w:rsidRPr="00A572E4" w:rsidRDefault="0091023F" w:rsidP="0033124F">
      <w:pPr>
        <w:jc w:val="both"/>
        <w:rPr>
          <w:rFonts w:asciiTheme="minorHAnsi" w:hAnsiTheme="minorHAnsi"/>
        </w:rPr>
      </w:pPr>
      <w:r w:rsidRPr="00A572E4">
        <w:rPr>
          <w:rFonts w:asciiTheme="minorHAnsi" w:hAnsiTheme="minorHAnsi"/>
        </w:rPr>
        <w:t>Izvješće pravne službe Grada Kaštela navodi da je izgledno pozitivno rješavanje u korist Grada Kaštela svih većih sporova i to:</w:t>
      </w:r>
    </w:p>
    <w:p w:rsidR="0033124F" w:rsidRPr="00A572E4" w:rsidRDefault="0033124F" w:rsidP="0033124F">
      <w:pPr>
        <w:jc w:val="both"/>
        <w:rPr>
          <w:rFonts w:asciiTheme="minorHAnsi" w:hAnsiTheme="minorHAnsi"/>
        </w:rPr>
      </w:pPr>
    </w:p>
    <w:p w:rsidR="0091023F" w:rsidRDefault="0091023F" w:rsidP="0091023F">
      <w:pPr>
        <w:pStyle w:val="ListParagraph"/>
        <w:numPr>
          <w:ilvl w:val="0"/>
          <w:numId w:val="3"/>
        </w:numPr>
      </w:pPr>
      <w:r>
        <w:t>CCS ULAGANJA d.o.o.</w:t>
      </w:r>
      <w:r>
        <w:tab/>
        <w:t>30.980.813.,34 kn</w:t>
      </w:r>
      <w:r>
        <w:tab/>
        <w:t>90 % Grad dobiva spor</w:t>
      </w:r>
    </w:p>
    <w:p w:rsidR="0091023F" w:rsidRDefault="0091023F" w:rsidP="0091023F">
      <w:pPr>
        <w:pStyle w:val="ListParagraph"/>
        <w:numPr>
          <w:ilvl w:val="0"/>
          <w:numId w:val="3"/>
        </w:numPr>
      </w:pPr>
      <w:r>
        <w:t>FLIO d.o.o.</w:t>
      </w:r>
      <w:r>
        <w:tab/>
      </w:r>
      <w:r>
        <w:tab/>
        <w:t>6.746.839,02 kn</w:t>
      </w:r>
      <w:r>
        <w:tab/>
        <w:t>80 % Grad dobiva spor</w:t>
      </w:r>
    </w:p>
    <w:p w:rsidR="0091023F" w:rsidRDefault="00C85FED" w:rsidP="0091023F">
      <w:pPr>
        <w:pStyle w:val="ListParagraph"/>
        <w:numPr>
          <w:ilvl w:val="0"/>
          <w:numId w:val="3"/>
        </w:numPr>
        <w:spacing w:line="360" w:lineRule="auto"/>
      </w:pPr>
      <w:r>
        <w:t>GRA</w:t>
      </w:r>
      <w:r w:rsidR="0091023F">
        <w:t>VIM d.o</w:t>
      </w:r>
      <w:r w:rsidR="003E23E7">
        <w:t>.o.</w:t>
      </w:r>
      <w:r w:rsidR="003E23E7">
        <w:tab/>
      </w:r>
      <w:r>
        <w:tab/>
      </w:r>
      <w:r w:rsidR="003E23E7">
        <w:t>1.500.000,00 kn</w:t>
      </w:r>
      <w:r w:rsidR="003E23E7">
        <w:tab/>
        <w:t xml:space="preserve">Grad dobio </w:t>
      </w:r>
      <w:r>
        <w:t>I</w:t>
      </w:r>
      <w:r w:rsidR="003E23E7">
        <w:t>°</w:t>
      </w:r>
    </w:p>
    <w:p w:rsidR="00C85FED" w:rsidRDefault="00C85FED" w:rsidP="0091023F">
      <w:pPr>
        <w:pStyle w:val="ListParagraph"/>
        <w:numPr>
          <w:ilvl w:val="0"/>
          <w:numId w:val="3"/>
        </w:numPr>
        <w:spacing w:line="360" w:lineRule="auto"/>
      </w:pPr>
      <w:r>
        <w:t>MP BETON d.o.o.</w:t>
      </w:r>
      <w:r>
        <w:tab/>
        <w:t>1.033.090,90 kn</w:t>
      </w:r>
      <w:r>
        <w:tab/>
        <w:t>80% Grad dobiva spor</w:t>
      </w:r>
    </w:p>
    <w:p w:rsidR="00C85FED" w:rsidRDefault="00C85FED" w:rsidP="00C85FED">
      <w:pPr>
        <w:pStyle w:val="ListParagraph"/>
        <w:numPr>
          <w:ilvl w:val="0"/>
          <w:numId w:val="3"/>
        </w:numPr>
        <w:spacing w:line="360" w:lineRule="auto"/>
      </w:pPr>
      <w:r>
        <w:t>TIM KAŠTELA d.o.o.</w:t>
      </w:r>
      <w:r>
        <w:tab/>
        <w:t>1.000.000,00 kn</w:t>
      </w:r>
      <w:r>
        <w:tab/>
        <w:t>Grad dobio I°</w:t>
      </w:r>
    </w:p>
    <w:p w:rsidR="00C85FED" w:rsidRDefault="00F564F9" w:rsidP="0091023F">
      <w:pPr>
        <w:pStyle w:val="ListParagraph"/>
        <w:numPr>
          <w:ilvl w:val="0"/>
          <w:numId w:val="3"/>
        </w:numPr>
        <w:spacing w:line="360" w:lineRule="auto"/>
      </w:pPr>
      <w:r>
        <w:t>MATELJAN IBAN i dr</w:t>
      </w:r>
      <w:r>
        <w:tab/>
        <w:t>935.000,00 kn</w:t>
      </w:r>
      <w:r>
        <w:tab/>
      </w:r>
      <w:r>
        <w:tab/>
        <w:t>Grad dobio spor- izjavljena revizija</w:t>
      </w:r>
    </w:p>
    <w:p w:rsidR="00F564F9" w:rsidRPr="0091023F" w:rsidRDefault="00F564F9" w:rsidP="0091023F">
      <w:pPr>
        <w:pStyle w:val="ListParagraph"/>
        <w:numPr>
          <w:ilvl w:val="0"/>
          <w:numId w:val="3"/>
        </w:numPr>
        <w:spacing w:line="360" w:lineRule="auto"/>
      </w:pPr>
      <w:r>
        <w:t>Vlatko Perak</w:t>
      </w:r>
      <w:r>
        <w:tab/>
      </w:r>
      <w:r>
        <w:tab/>
        <w:t>800.000,00 kn</w:t>
      </w:r>
      <w:r>
        <w:tab/>
      </w:r>
      <w:r>
        <w:tab/>
      </w:r>
      <w:r w:rsidR="00BB469E">
        <w:t>povučena tužba</w:t>
      </w:r>
    </w:p>
    <w:p w:rsidR="0091023F" w:rsidRDefault="0091023F">
      <w:pPr>
        <w:rPr>
          <w:rFonts w:asciiTheme="minorHAnsi" w:hAnsiTheme="minorHAnsi"/>
        </w:rPr>
      </w:pPr>
    </w:p>
    <w:p w:rsidR="009B4EDB" w:rsidRDefault="009B4EDB" w:rsidP="009B4EDB">
      <w:pPr>
        <w:rPr>
          <w:rFonts w:asciiTheme="minorHAnsi" w:hAnsiTheme="minorHAnsi"/>
          <w:b/>
          <w:u w:val="single"/>
        </w:rPr>
      </w:pPr>
      <w:r w:rsidRPr="003466C3">
        <w:rPr>
          <w:rFonts w:asciiTheme="minorHAnsi" w:hAnsiTheme="minorHAnsi"/>
          <w:b/>
          <w:u w:val="single"/>
        </w:rPr>
        <w:lastRenderedPageBreak/>
        <w:t>V</w:t>
      </w:r>
      <w:r w:rsidR="00EB200D" w:rsidRPr="003466C3">
        <w:rPr>
          <w:rFonts w:asciiTheme="minorHAnsi" w:hAnsiTheme="minorHAnsi"/>
          <w:b/>
          <w:u w:val="single"/>
        </w:rPr>
        <w:t>I</w:t>
      </w:r>
      <w:r w:rsidR="00E164BE" w:rsidRPr="003466C3">
        <w:rPr>
          <w:rFonts w:asciiTheme="minorHAnsi" w:hAnsiTheme="minorHAnsi"/>
          <w:b/>
          <w:u w:val="single"/>
        </w:rPr>
        <w:t>II</w:t>
      </w:r>
      <w:r w:rsidRPr="003466C3">
        <w:rPr>
          <w:rFonts w:asciiTheme="minorHAnsi" w:hAnsiTheme="minorHAnsi"/>
          <w:b/>
          <w:u w:val="single"/>
        </w:rPr>
        <w:t xml:space="preserve"> </w:t>
      </w:r>
      <w:r w:rsidR="00077321" w:rsidRPr="003466C3">
        <w:rPr>
          <w:rFonts w:asciiTheme="minorHAnsi" w:hAnsiTheme="minorHAnsi"/>
          <w:b/>
          <w:u w:val="single"/>
        </w:rPr>
        <w:t xml:space="preserve"> </w:t>
      </w:r>
      <w:r w:rsidRPr="003466C3">
        <w:rPr>
          <w:rFonts w:asciiTheme="minorHAnsi" w:hAnsiTheme="minorHAnsi"/>
          <w:b/>
          <w:u w:val="single"/>
        </w:rPr>
        <w:t>BILJEŠKE UZ VLASNIČKE UDJELE</w:t>
      </w:r>
    </w:p>
    <w:p w:rsidR="005C29A5" w:rsidRDefault="005C29A5" w:rsidP="009B4EDB">
      <w:pPr>
        <w:rPr>
          <w:rFonts w:asciiTheme="minorHAnsi" w:hAnsiTheme="minorHAnsi"/>
          <w:b/>
          <w:u w:val="single"/>
        </w:rPr>
      </w:pPr>
    </w:p>
    <w:tbl>
      <w:tblPr>
        <w:tblW w:w="9648" w:type="dxa"/>
        <w:tblInd w:w="95" w:type="dxa"/>
        <w:tblLayout w:type="fixed"/>
        <w:tblLook w:val="04A0"/>
      </w:tblPr>
      <w:tblGrid>
        <w:gridCol w:w="861"/>
        <w:gridCol w:w="2655"/>
        <w:gridCol w:w="1742"/>
        <w:gridCol w:w="1614"/>
        <w:gridCol w:w="1046"/>
        <w:gridCol w:w="1730"/>
      </w:tblGrid>
      <w:tr w:rsidR="005C29A5" w:rsidRPr="00A572E4" w:rsidTr="0091023F">
        <w:trPr>
          <w:trHeight w:val="10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društva/ustanove/zaklade u vlasništvu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društva/ustanove/zaklade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Ukupni tem.kapitala trg. društva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Udio u vlasništvu (u postotku)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5C29A5" w:rsidRPr="00A572E4" w:rsidTr="0091023F">
        <w:trPr>
          <w:trHeight w:val="5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A572E4" w:rsidTr="0091023F">
        <w:trPr>
          <w:trHeight w:val="4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A572E4" w:rsidTr="0091023F">
        <w:trPr>
          <w:trHeight w:val="4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A572E4" w:rsidTr="0091023F">
        <w:trPr>
          <w:trHeight w:val="42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A572E4" w:rsidTr="0091023F">
        <w:trPr>
          <w:trHeight w:val="3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C29A5" w:rsidRPr="00A572E4" w:rsidTr="0091023F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230.000.000,00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40.434.000</w:t>
            </w:r>
          </w:p>
        </w:tc>
      </w:tr>
      <w:tr w:rsidR="005C29A5" w:rsidRPr="00A572E4" w:rsidTr="0091023F">
        <w:trPr>
          <w:trHeight w:val="3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74.145.000,00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3.855.400</w:t>
            </w:r>
          </w:p>
        </w:tc>
      </w:tr>
      <w:tr w:rsidR="005C29A5" w:rsidRPr="00A572E4" w:rsidTr="0091023F">
        <w:trPr>
          <w:trHeight w:val="4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385.300.000,00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57.795.000</w:t>
            </w:r>
          </w:p>
        </w:tc>
      </w:tr>
      <w:tr w:rsidR="005C29A5" w:rsidRPr="00A572E4" w:rsidTr="0091023F">
        <w:trPr>
          <w:trHeight w:val="43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A572E4" w:rsidRDefault="005C29A5" w:rsidP="0091023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A572E4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A572E4" w:rsidRDefault="005C29A5" w:rsidP="0091023F">
            <w:pPr>
              <w:jc w:val="right"/>
              <w:rPr>
                <w:rFonts w:asciiTheme="minorHAnsi" w:hAnsiTheme="minorHAnsi"/>
                <w:color w:val="000000"/>
                <w:lang w:eastAsia="hr-HR"/>
              </w:rPr>
            </w:pPr>
            <w:r w:rsidRPr="00A572E4">
              <w:rPr>
                <w:rFonts w:asciiTheme="minorHAnsi" w:hAnsiTheme="minorHAnsi"/>
                <w:color w:val="000000"/>
                <w:lang w:eastAsia="hr-HR"/>
              </w:rPr>
              <w:t>102.104.400</w:t>
            </w:r>
          </w:p>
        </w:tc>
      </w:tr>
    </w:tbl>
    <w:p w:rsidR="005C29A5" w:rsidRPr="00A572E4" w:rsidRDefault="005C29A5" w:rsidP="009B4EDB">
      <w:pPr>
        <w:rPr>
          <w:rFonts w:asciiTheme="minorHAnsi" w:hAnsiTheme="minorHAnsi"/>
          <w:b/>
          <w:u w:val="single"/>
        </w:rPr>
      </w:pPr>
    </w:p>
    <w:p w:rsidR="005C29A5" w:rsidRPr="00A572E4" w:rsidRDefault="005C29A5" w:rsidP="005C29A5">
      <w:pPr>
        <w:jc w:val="both"/>
        <w:rPr>
          <w:rFonts w:asciiTheme="minorHAnsi" w:hAnsiTheme="minorHAnsi" w:cs="Arial"/>
          <w:lang w:eastAsia="hr-HR"/>
        </w:rPr>
      </w:pPr>
      <w:r w:rsidRPr="00A572E4">
        <w:rPr>
          <w:rFonts w:asciiTheme="minorHAnsi" w:hAnsiTheme="minorHAnsi" w:cs="Arial"/>
          <w:lang w:eastAsia="hr-HR"/>
        </w:rPr>
        <w:t>Odlukom članova društva Promet d.o.o. od 27.siječnja 2017.godine, povećan je temeljni kapital sa iznosa od 40.747.800,00 kuna, za izno</w:t>
      </w:r>
      <w:r w:rsidR="00A572E4" w:rsidRPr="00A572E4">
        <w:rPr>
          <w:rFonts w:asciiTheme="minorHAnsi" w:hAnsiTheme="minorHAnsi" w:cs="Arial"/>
          <w:lang w:eastAsia="hr-HR"/>
        </w:rPr>
        <w:t>s od 33.397.200,00 kuna, unosom prava potraživanja</w:t>
      </w:r>
      <w:r w:rsidRPr="00A572E4">
        <w:rPr>
          <w:rFonts w:asciiTheme="minorHAnsi" w:hAnsiTheme="minorHAnsi" w:cs="Arial"/>
          <w:lang w:eastAsia="hr-HR"/>
        </w:rPr>
        <w:t xml:space="preserve"> na iznos od 74.145.000,00 kuna.</w:t>
      </w:r>
    </w:p>
    <w:p w:rsidR="007F3DE8" w:rsidRPr="00A572E4" w:rsidRDefault="007F3DE8">
      <w:pPr>
        <w:rPr>
          <w:rFonts w:asciiTheme="minorHAnsi" w:hAnsiTheme="minorHAnsi"/>
        </w:rPr>
      </w:pPr>
    </w:p>
    <w:p w:rsidR="007F3DE8" w:rsidRPr="00A572E4" w:rsidRDefault="007F3DE8">
      <w:pPr>
        <w:rPr>
          <w:rFonts w:asciiTheme="minorHAnsi" w:hAnsiTheme="minorHAnsi"/>
        </w:rPr>
      </w:pPr>
    </w:p>
    <w:p w:rsidR="00AC4DB4" w:rsidRPr="00A572E4" w:rsidRDefault="00BD5BEE">
      <w:pPr>
        <w:rPr>
          <w:rFonts w:asciiTheme="minorHAnsi" w:hAnsiTheme="minorHAnsi"/>
        </w:rPr>
      </w:pPr>
      <w:r w:rsidRPr="00A572E4">
        <w:rPr>
          <w:rFonts w:asciiTheme="minorHAnsi" w:hAnsiTheme="minorHAnsi"/>
        </w:rPr>
        <w:t>Kaštel Sućurac, 14</w:t>
      </w:r>
      <w:r w:rsidR="00463CE1" w:rsidRPr="00A572E4">
        <w:rPr>
          <w:rFonts w:asciiTheme="minorHAnsi" w:hAnsiTheme="minorHAnsi"/>
        </w:rPr>
        <w:t>.02</w:t>
      </w:r>
      <w:r w:rsidR="00783383" w:rsidRPr="00A572E4">
        <w:rPr>
          <w:rFonts w:asciiTheme="minorHAnsi" w:hAnsiTheme="minorHAnsi"/>
        </w:rPr>
        <w:t>.201</w:t>
      </w:r>
      <w:r w:rsidR="005C29A5" w:rsidRPr="00A572E4">
        <w:rPr>
          <w:rFonts w:asciiTheme="minorHAnsi" w:hAnsiTheme="minorHAnsi"/>
        </w:rPr>
        <w:t>8</w:t>
      </w:r>
      <w:r w:rsidR="00AC4DB4" w:rsidRPr="00A572E4">
        <w:rPr>
          <w:rFonts w:asciiTheme="minorHAnsi" w:hAnsiTheme="minorHAnsi"/>
        </w:rPr>
        <w:t xml:space="preserve">  godine</w:t>
      </w:r>
    </w:p>
    <w:p w:rsidR="00677662" w:rsidRDefault="006C320E">
      <w:pPr>
        <w:rPr>
          <w:rFonts w:asciiTheme="minorHAnsi" w:hAnsiTheme="minorHAnsi"/>
        </w:rPr>
      </w:pPr>
      <w:r w:rsidRPr="00A572E4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 xml:space="preserve">                                                                          </w:t>
      </w:r>
      <w:r w:rsidR="00783383" w:rsidRPr="003466C3">
        <w:rPr>
          <w:rFonts w:asciiTheme="minorHAnsi" w:hAnsiTheme="minorHAnsi"/>
        </w:rPr>
        <w:t xml:space="preserve">                    </w:t>
      </w:r>
      <w:r w:rsidR="003466C3">
        <w:rPr>
          <w:rFonts w:asciiTheme="minorHAnsi" w:hAnsiTheme="minorHAnsi"/>
        </w:rPr>
        <w:tab/>
      </w:r>
      <w:r w:rsidR="00783383" w:rsidRPr="003466C3">
        <w:rPr>
          <w:rFonts w:asciiTheme="minorHAnsi" w:hAnsiTheme="minorHAnsi"/>
        </w:rPr>
        <w:t xml:space="preserve">   Pročelnica</w:t>
      </w:r>
      <w:r w:rsidRPr="003466C3">
        <w:rPr>
          <w:rFonts w:asciiTheme="minorHAnsi" w:hAnsiTheme="minorHAnsi"/>
        </w:rPr>
        <w:t>:</w:t>
      </w:r>
    </w:p>
    <w:p w:rsidR="003466C3" w:rsidRPr="003466C3" w:rsidRDefault="003466C3">
      <w:pPr>
        <w:rPr>
          <w:rFonts w:asciiTheme="minorHAnsi" w:hAnsiTheme="minorHAnsi"/>
        </w:rPr>
      </w:pPr>
    </w:p>
    <w:p w:rsidR="00677662" w:rsidRDefault="003466C3" w:rsidP="006C320E">
      <w:pPr>
        <w:tabs>
          <w:tab w:val="left" w:pos="614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83383" w:rsidRPr="003466C3">
        <w:rPr>
          <w:rFonts w:asciiTheme="minorHAnsi" w:hAnsiTheme="minorHAnsi"/>
        </w:rPr>
        <w:t>Matija-Marija Đikić</w:t>
      </w:r>
    </w:p>
    <w:p w:rsidR="00506043" w:rsidRDefault="00506043" w:rsidP="006C320E">
      <w:pPr>
        <w:tabs>
          <w:tab w:val="left" w:pos="6144"/>
        </w:tabs>
        <w:rPr>
          <w:rFonts w:asciiTheme="minorHAnsi" w:hAnsiTheme="minorHAnsi"/>
        </w:rPr>
      </w:pPr>
    </w:p>
    <w:p w:rsidR="00506043" w:rsidRDefault="00506043" w:rsidP="006C320E">
      <w:pPr>
        <w:tabs>
          <w:tab w:val="left" w:pos="6144"/>
        </w:tabs>
        <w:rPr>
          <w:rFonts w:asciiTheme="minorHAnsi" w:hAnsiTheme="minorHAnsi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</w:rPr>
        <w:sectPr w:rsidR="00CB3519" w:rsidSect="002E378C">
          <w:footerReference w:type="default" r:id="rId10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W w:w="14754" w:type="dxa"/>
        <w:tblInd w:w="96" w:type="dxa"/>
        <w:tblLook w:val="04A0"/>
      </w:tblPr>
      <w:tblGrid>
        <w:gridCol w:w="580"/>
        <w:gridCol w:w="1703"/>
        <w:gridCol w:w="1956"/>
        <w:gridCol w:w="1585"/>
        <w:gridCol w:w="1559"/>
        <w:gridCol w:w="1560"/>
        <w:gridCol w:w="1417"/>
        <w:gridCol w:w="1559"/>
        <w:gridCol w:w="1418"/>
        <w:gridCol w:w="1417"/>
      </w:tblGrid>
      <w:tr w:rsidR="00CB3519" w:rsidRPr="00CB3519" w:rsidTr="00CB3519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bookmarkStart w:id="0" w:name="RANGE!A1:J27"/>
            <w:bookmarkEnd w:id="0"/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08727843572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30363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K.Sućurac, Braće Radić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Naziv proračuna, proračunskog i izvanproračunskog korisnika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RKP BROJ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CB3519" w:rsidRPr="00CB3519" w:rsidTr="00CB3519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Tablica 1: Dani zajmovi i primljene otplate</w:t>
            </w:r>
          </w:p>
        </w:tc>
      </w:tr>
      <w:tr w:rsidR="00CB3519" w:rsidRPr="00CB3519" w:rsidTr="00CB3519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9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Red.</w:t>
            </w:r>
            <w:r w:rsidRPr="00CB3519">
              <w:rPr>
                <w:b/>
                <w:bCs/>
                <w:sz w:val="18"/>
                <w:szCs w:val="18"/>
                <w:lang w:eastAsia="hr-HR"/>
              </w:rPr>
              <w:br/>
              <w:t>br.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Vrsta zajmova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 xml:space="preserve">  Primljene  otplate  glavnice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Dani zajmovi u tekućoj godini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Stanje zajma           31. 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Revalorizacija/ tečajne razlike u tekućoj godini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Datum izdavanja zajma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Datum dospijeća zajma</w:t>
            </w:r>
          </w:p>
        </w:tc>
      </w:tr>
      <w:tr w:rsidR="00CB3519" w:rsidRPr="00CB3519" w:rsidTr="00CB3519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Tuzemni kratkoročni zajmovi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Tuzemni dugoročni zajmovi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 (1+2)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CB3519" w:rsidRPr="00CB3519" w:rsidTr="00CB3519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Inozemni kratkoročni zajmovi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Inozemni dugoročni zajmovi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 (3+4)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CB3519" w:rsidRPr="00CB3519" w:rsidTr="00CB3519">
        <w:trPr>
          <w:trHeight w:val="300"/>
        </w:trPr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 (1+2+3+4)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</w:tbl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tbl>
      <w:tblPr>
        <w:tblW w:w="15038" w:type="dxa"/>
        <w:tblInd w:w="96" w:type="dxa"/>
        <w:tblLook w:val="04A0"/>
      </w:tblPr>
      <w:tblGrid>
        <w:gridCol w:w="580"/>
        <w:gridCol w:w="1417"/>
        <w:gridCol w:w="1378"/>
        <w:gridCol w:w="1760"/>
        <w:gridCol w:w="1402"/>
        <w:gridCol w:w="1275"/>
        <w:gridCol w:w="1560"/>
        <w:gridCol w:w="1275"/>
        <w:gridCol w:w="1560"/>
        <w:gridCol w:w="1413"/>
        <w:gridCol w:w="1418"/>
      </w:tblGrid>
      <w:tr w:rsidR="00CB3519" w:rsidRPr="00CB3519" w:rsidTr="00CB3519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Tablica 2:  Primljeni krediti i zajmovi te otplate</w:t>
            </w:r>
          </w:p>
        </w:tc>
      </w:tr>
      <w:tr w:rsidR="00CB3519" w:rsidRPr="00CB3519" w:rsidTr="00CB3519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10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Red.</w:t>
            </w:r>
            <w:r w:rsidRPr="00CB3519">
              <w:rPr>
                <w:b/>
                <w:bCs/>
                <w:sz w:val="18"/>
                <w:szCs w:val="18"/>
                <w:lang w:eastAsia="hr-HR"/>
              </w:rPr>
              <w:br/>
              <w:t>br.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Vrsta kredita i zajmova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Ugovorena valuta i iznos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Stanje kredita i zajma 1.1.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Otplate glavnice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Primljeni krediti i  zajmovi u tekućoj godini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Stanje kredita i zajma 31. 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Revalorizacija / tečajne razlike u tekućoj godini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 xml:space="preserve"> Datum primanja kredita i zajma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Datum dospijeća kredita i zajma</w:t>
            </w:r>
          </w:p>
        </w:tc>
      </w:tr>
      <w:tr w:rsidR="00CB3519" w:rsidRPr="00CB3519" w:rsidTr="00CB351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Tuzemni kratkoročni krediti i zajmovi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Tuzemni dugoročni krediti i zajmovi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 (1+2)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Inozemni kratkoročni krediti i zajmovi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Inozemni dugoročni krediti i zajmovi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CB3519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CB3519" w:rsidRPr="00CB3519" w:rsidTr="00CB3519">
        <w:trPr>
          <w:trHeight w:val="300"/>
        </w:trPr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 (3+4)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CB3519" w:rsidRPr="00CB3519" w:rsidTr="00CB3519">
        <w:trPr>
          <w:trHeight w:val="300"/>
        </w:trPr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UKUPNO (1+2+3+4)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B3519" w:rsidRPr="00CB3519" w:rsidRDefault="00CB3519" w:rsidP="00CB351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B3519" w:rsidRPr="00CB3519" w:rsidRDefault="00CB3519" w:rsidP="00CB351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B3519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519" w:rsidRPr="00CB3519" w:rsidRDefault="00CB3519" w:rsidP="00CB3519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</w:tbl>
    <w:p w:rsidR="00CB3519" w:rsidRDefault="00CB3519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tbl>
      <w:tblPr>
        <w:tblW w:w="12680" w:type="dxa"/>
        <w:tblInd w:w="96" w:type="dxa"/>
        <w:tblLook w:val="04A0"/>
      </w:tblPr>
      <w:tblGrid>
        <w:gridCol w:w="600"/>
        <w:gridCol w:w="1660"/>
        <w:gridCol w:w="3220"/>
        <w:gridCol w:w="3480"/>
        <w:gridCol w:w="1860"/>
        <w:gridCol w:w="1860"/>
      </w:tblGrid>
      <w:tr w:rsidR="00A92930" w:rsidRPr="00A92930" w:rsidTr="00A92930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2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Tablica 3: Primljeni robni zajmovi i financijski najmovi</w:t>
            </w:r>
          </w:p>
        </w:tc>
      </w:tr>
      <w:tr w:rsidR="00A92930" w:rsidRPr="00A92930" w:rsidTr="00A92930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A92930" w:rsidRPr="00A92930" w:rsidTr="00A92930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Red.</w:t>
            </w:r>
            <w:r w:rsidRPr="00A92930">
              <w:rPr>
                <w:b/>
                <w:bCs/>
                <w:sz w:val="18"/>
                <w:szCs w:val="18"/>
                <w:lang w:eastAsia="hr-HR"/>
              </w:rPr>
              <w:br/>
              <w:t>br.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Robni zajmovi i financijski najmovi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Stanje 1.1.2017.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Stanje 31.12.2017.</w:t>
            </w:r>
          </w:p>
        </w:tc>
      </w:tr>
      <w:tr w:rsidR="00A92930" w:rsidRPr="00A92930" w:rsidTr="00A92930">
        <w:trPr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Primljeni robni zajmovi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9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Financijski najmovi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20"/>
                <w:szCs w:val="20"/>
                <w:lang w:eastAsia="hr-HR"/>
              </w:rPr>
            </w:pPr>
            <w:r w:rsidRPr="00A92930">
              <w:rPr>
                <w:sz w:val="20"/>
                <w:szCs w:val="20"/>
                <w:lang w:eastAsia="hr-HR"/>
              </w:rPr>
              <w:t>Erste &amp; Steiermärkische S-Leasing d.o.o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20"/>
                <w:szCs w:val="20"/>
                <w:lang w:eastAsia="hr-HR"/>
              </w:rPr>
            </w:pPr>
            <w:r w:rsidRPr="00A92930">
              <w:rPr>
                <w:sz w:val="20"/>
                <w:szCs w:val="20"/>
                <w:lang w:eastAsia="hr-HR"/>
              </w:rPr>
              <w:t>financijski leasing za kupnju kamiona čistilice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491.545,15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152.932,64</w:t>
            </w:r>
          </w:p>
        </w:tc>
      </w:tr>
      <w:tr w:rsidR="00A92930" w:rsidRPr="00A92930" w:rsidTr="00A92930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  <w:r w:rsidRPr="00A92930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491.545,15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152.932,64</w:t>
            </w:r>
          </w:p>
        </w:tc>
      </w:tr>
      <w:tr w:rsidR="00A92930" w:rsidRPr="00A92930" w:rsidTr="00A92930">
        <w:trPr>
          <w:trHeight w:val="315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UKUPNO (1+2)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491.545,15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A92930">
              <w:rPr>
                <w:b/>
                <w:bCs/>
                <w:sz w:val="18"/>
                <w:szCs w:val="18"/>
                <w:lang w:eastAsia="hr-HR"/>
              </w:rPr>
              <w:t>152.932,64</w:t>
            </w:r>
          </w:p>
        </w:tc>
      </w:tr>
    </w:tbl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tbl>
      <w:tblPr>
        <w:tblW w:w="13200" w:type="dxa"/>
        <w:tblInd w:w="96" w:type="dxa"/>
        <w:tblLook w:val="04A0"/>
      </w:tblPr>
      <w:tblGrid>
        <w:gridCol w:w="650"/>
        <w:gridCol w:w="2080"/>
        <w:gridCol w:w="546"/>
        <w:gridCol w:w="2340"/>
        <w:gridCol w:w="1880"/>
        <w:gridCol w:w="1960"/>
        <w:gridCol w:w="1940"/>
        <w:gridCol w:w="1900"/>
      </w:tblGrid>
      <w:tr w:rsidR="00A92930" w:rsidRPr="00A92930" w:rsidTr="00A92930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2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lang w:eastAsia="hr-HR"/>
              </w:rPr>
            </w:pPr>
            <w:r w:rsidRPr="00A92930">
              <w:rPr>
                <w:b/>
                <w:bCs/>
                <w:lang w:eastAsia="hr-HR"/>
              </w:rPr>
              <w:t>Tablica 4: Dospjele kamate na kredite i zajmove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Red.</w:t>
            </w:r>
            <w:r w:rsidRPr="00A92930">
              <w:rPr>
                <w:b/>
                <w:bCs/>
                <w:sz w:val="22"/>
                <w:szCs w:val="22"/>
                <w:lang w:eastAsia="hr-HR"/>
              </w:rPr>
              <w:br/>
              <w:t>br.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Kamate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Stanje 1.1.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Kamate dospjele u tekućoj godini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Kamate plaćene u tekućoj godini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Stanje 31.12.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color w:val="FFFFFF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color w:val="FFFFFF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color w:val="FFFFFF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color w:val="FFFFFF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color w:val="FFFFFF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color w:val="FFFFFF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color w:val="FFFFFF"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color w:val="FFFFFF"/>
                <w:sz w:val="22"/>
                <w:szCs w:val="22"/>
                <w:lang w:eastAsia="hr-HR"/>
              </w:rPr>
              <w:t>7=4+5-6</w:t>
            </w:r>
          </w:p>
        </w:tc>
      </w:tr>
      <w:tr w:rsidR="00A92930" w:rsidRPr="00A92930" w:rsidTr="00A92930">
        <w:trPr>
          <w:trHeight w:val="3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 xml:space="preserve"> Kamate po primljenim kreditima i zajmovima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1.1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tuzemnim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18.398,72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18.398,72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0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1.2.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inozemnim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UKUPNO (1.1+1.2)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18.398,72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18.398,72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0,00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Kamate po danim zajmovima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2.1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tuzemnim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2.2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inozemnim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UKUPNO (2.1+2.2)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:rsidR="00A92930" w:rsidRPr="00A92930" w:rsidRDefault="00A92930" w:rsidP="00A9293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A92930">
              <w:rPr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Datum: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:rsidR="00A92930" w:rsidRPr="00A92930" w:rsidRDefault="001D6105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14</w:t>
            </w:r>
            <w:r w:rsidR="00A92930" w:rsidRPr="00A92930">
              <w:rPr>
                <w:sz w:val="22"/>
                <w:szCs w:val="22"/>
                <w:lang w:eastAsia="hr-HR"/>
              </w:rPr>
              <w:t>.02.2018.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Odgovorna osoba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Osoba za kontaktiranje:</w:t>
            </w:r>
          </w:p>
        </w:tc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Matija Marija Đikić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(potpis)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Telefon za kontakt:</w:t>
            </w:r>
          </w:p>
        </w:tc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021/205-228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_______________</w:t>
            </w:r>
          </w:p>
        </w:tc>
      </w:tr>
      <w:tr w:rsidR="00A92930" w:rsidRPr="00A92930" w:rsidTr="00A9293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right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Odgovorna osoba:</w:t>
            </w:r>
          </w:p>
        </w:tc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Matija Marija Đikić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930" w:rsidRPr="00A92930" w:rsidRDefault="00A92930" w:rsidP="00A9293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A92930">
              <w:rPr>
                <w:sz w:val="22"/>
                <w:szCs w:val="22"/>
                <w:lang w:eastAsia="hr-HR"/>
              </w:rPr>
              <w:t>M.P.</w:t>
            </w:r>
          </w:p>
        </w:tc>
      </w:tr>
    </w:tbl>
    <w:p w:rsidR="00A92930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p w:rsidR="00A92930" w:rsidRPr="00CB3519" w:rsidRDefault="00A92930" w:rsidP="006C320E">
      <w:pPr>
        <w:tabs>
          <w:tab w:val="left" w:pos="6144"/>
        </w:tabs>
        <w:rPr>
          <w:rFonts w:asciiTheme="minorHAnsi" w:hAnsiTheme="minorHAnsi"/>
          <w:color w:val="FF0000"/>
          <w:sz w:val="18"/>
          <w:szCs w:val="18"/>
        </w:rPr>
      </w:pPr>
    </w:p>
    <w:sectPr w:rsidR="00A92930" w:rsidRPr="00CB3519" w:rsidSect="00CB3519">
      <w:pgSz w:w="16838" w:h="11906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45" w:rsidRDefault="00E43A45" w:rsidP="003466C3">
      <w:r>
        <w:separator/>
      </w:r>
    </w:p>
  </w:endnote>
  <w:endnote w:type="continuationSeparator" w:id="0">
    <w:p w:rsidR="00E43A45" w:rsidRDefault="00E43A45" w:rsidP="0034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8101"/>
      <w:docPartObj>
        <w:docPartGallery w:val="Page Numbers (Bottom of Page)"/>
        <w:docPartUnique/>
      </w:docPartObj>
    </w:sdtPr>
    <w:sdtContent>
      <w:p w:rsidR="00227162" w:rsidRDefault="00AE3AF1">
        <w:pPr>
          <w:pStyle w:val="Footer"/>
          <w:jc w:val="center"/>
        </w:pPr>
        <w:fldSimple w:instr=" PAGE   \* MERGEFORMAT ">
          <w:r w:rsidR="001D6105">
            <w:rPr>
              <w:noProof/>
            </w:rPr>
            <w:t>24</w:t>
          </w:r>
        </w:fldSimple>
      </w:p>
    </w:sdtContent>
  </w:sdt>
  <w:p w:rsidR="00227162" w:rsidRDefault="002271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45" w:rsidRDefault="00E43A45" w:rsidP="003466C3">
      <w:r>
        <w:separator/>
      </w:r>
    </w:p>
  </w:footnote>
  <w:footnote w:type="continuationSeparator" w:id="0">
    <w:p w:rsidR="00E43A45" w:rsidRDefault="00E43A45" w:rsidP="00346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hideSpellingError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373"/>
    <w:rsid w:val="000026AA"/>
    <w:rsid w:val="00006FC4"/>
    <w:rsid w:val="000121AF"/>
    <w:rsid w:val="00015487"/>
    <w:rsid w:val="00026323"/>
    <w:rsid w:val="000344F3"/>
    <w:rsid w:val="00051911"/>
    <w:rsid w:val="00053500"/>
    <w:rsid w:val="000547B5"/>
    <w:rsid w:val="0006477E"/>
    <w:rsid w:val="00065E45"/>
    <w:rsid w:val="000707E9"/>
    <w:rsid w:val="00074850"/>
    <w:rsid w:val="00077321"/>
    <w:rsid w:val="00081722"/>
    <w:rsid w:val="0008319D"/>
    <w:rsid w:val="00086524"/>
    <w:rsid w:val="00095F1F"/>
    <w:rsid w:val="0009652D"/>
    <w:rsid w:val="000A3831"/>
    <w:rsid w:val="000A76FA"/>
    <w:rsid w:val="000B207C"/>
    <w:rsid w:val="000B41E6"/>
    <w:rsid w:val="000C5A6A"/>
    <w:rsid w:val="000D1117"/>
    <w:rsid w:val="000D14E1"/>
    <w:rsid w:val="000D16BC"/>
    <w:rsid w:val="000F0AA8"/>
    <w:rsid w:val="000F49E6"/>
    <w:rsid w:val="000F6699"/>
    <w:rsid w:val="000F71AC"/>
    <w:rsid w:val="0010359A"/>
    <w:rsid w:val="00107F37"/>
    <w:rsid w:val="00113C9A"/>
    <w:rsid w:val="00113CD2"/>
    <w:rsid w:val="0012365D"/>
    <w:rsid w:val="00124A1C"/>
    <w:rsid w:val="001259CB"/>
    <w:rsid w:val="00125E27"/>
    <w:rsid w:val="0013602A"/>
    <w:rsid w:val="00140448"/>
    <w:rsid w:val="00154512"/>
    <w:rsid w:val="00167EFB"/>
    <w:rsid w:val="00171A7E"/>
    <w:rsid w:val="00174CF4"/>
    <w:rsid w:val="00176D85"/>
    <w:rsid w:val="00187883"/>
    <w:rsid w:val="00192927"/>
    <w:rsid w:val="001A1DED"/>
    <w:rsid w:val="001A29DA"/>
    <w:rsid w:val="001B1DC4"/>
    <w:rsid w:val="001B2AF0"/>
    <w:rsid w:val="001B4381"/>
    <w:rsid w:val="001C3191"/>
    <w:rsid w:val="001C4AEB"/>
    <w:rsid w:val="001D4D3A"/>
    <w:rsid w:val="001D6105"/>
    <w:rsid w:val="001D6515"/>
    <w:rsid w:val="001E1241"/>
    <w:rsid w:val="001E1E99"/>
    <w:rsid w:val="001E3A27"/>
    <w:rsid w:val="001E5964"/>
    <w:rsid w:val="001E7960"/>
    <w:rsid w:val="001F2AE5"/>
    <w:rsid w:val="001F3E21"/>
    <w:rsid w:val="00202762"/>
    <w:rsid w:val="002105C7"/>
    <w:rsid w:val="0021223E"/>
    <w:rsid w:val="002174E2"/>
    <w:rsid w:val="0022127E"/>
    <w:rsid w:val="0022196E"/>
    <w:rsid w:val="00223ABF"/>
    <w:rsid w:val="00227162"/>
    <w:rsid w:val="0023097A"/>
    <w:rsid w:val="00233818"/>
    <w:rsid w:val="00235AB4"/>
    <w:rsid w:val="00244EFA"/>
    <w:rsid w:val="00245ACF"/>
    <w:rsid w:val="00251A58"/>
    <w:rsid w:val="00251B35"/>
    <w:rsid w:val="00257C2F"/>
    <w:rsid w:val="00262043"/>
    <w:rsid w:val="00272338"/>
    <w:rsid w:val="002734C1"/>
    <w:rsid w:val="00276C5F"/>
    <w:rsid w:val="002775B7"/>
    <w:rsid w:val="0028139C"/>
    <w:rsid w:val="00283945"/>
    <w:rsid w:val="00296589"/>
    <w:rsid w:val="002A1E72"/>
    <w:rsid w:val="002A5AF2"/>
    <w:rsid w:val="002C2A53"/>
    <w:rsid w:val="002C54F8"/>
    <w:rsid w:val="002D0271"/>
    <w:rsid w:val="002E149C"/>
    <w:rsid w:val="002E27D2"/>
    <w:rsid w:val="002E378C"/>
    <w:rsid w:val="002E4218"/>
    <w:rsid w:val="002F1472"/>
    <w:rsid w:val="002F4473"/>
    <w:rsid w:val="002F549F"/>
    <w:rsid w:val="002F6BBA"/>
    <w:rsid w:val="00303DD3"/>
    <w:rsid w:val="00303FF4"/>
    <w:rsid w:val="00327D8A"/>
    <w:rsid w:val="0033124F"/>
    <w:rsid w:val="003315A9"/>
    <w:rsid w:val="003342C2"/>
    <w:rsid w:val="00341EE2"/>
    <w:rsid w:val="00345B6A"/>
    <w:rsid w:val="003466C3"/>
    <w:rsid w:val="003530CD"/>
    <w:rsid w:val="0035489C"/>
    <w:rsid w:val="00367B0B"/>
    <w:rsid w:val="00374E99"/>
    <w:rsid w:val="0037617F"/>
    <w:rsid w:val="00377958"/>
    <w:rsid w:val="003818CD"/>
    <w:rsid w:val="003844C8"/>
    <w:rsid w:val="003867EA"/>
    <w:rsid w:val="00386BBE"/>
    <w:rsid w:val="00392B9B"/>
    <w:rsid w:val="00395203"/>
    <w:rsid w:val="003A02E9"/>
    <w:rsid w:val="003A135A"/>
    <w:rsid w:val="003A1ABB"/>
    <w:rsid w:val="003A4ABA"/>
    <w:rsid w:val="003B0A4F"/>
    <w:rsid w:val="003B166C"/>
    <w:rsid w:val="003B3AAA"/>
    <w:rsid w:val="003B3C91"/>
    <w:rsid w:val="003B44CE"/>
    <w:rsid w:val="003C0094"/>
    <w:rsid w:val="003C7339"/>
    <w:rsid w:val="003E018F"/>
    <w:rsid w:val="003E0FDD"/>
    <w:rsid w:val="003E23E7"/>
    <w:rsid w:val="003E4B00"/>
    <w:rsid w:val="003E4BC3"/>
    <w:rsid w:val="003E64EB"/>
    <w:rsid w:val="003F3F7B"/>
    <w:rsid w:val="003F6B21"/>
    <w:rsid w:val="0041435D"/>
    <w:rsid w:val="00415F5D"/>
    <w:rsid w:val="004232E0"/>
    <w:rsid w:val="00424BD5"/>
    <w:rsid w:val="00424BFE"/>
    <w:rsid w:val="00427A21"/>
    <w:rsid w:val="00440D88"/>
    <w:rsid w:val="00441B89"/>
    <w:rsid w:val="0044522A"/>
    <w:rsid w:val="00451552"/>
    <w:rsid w:val="00451A44"/>
    <w:rsid w:val="00453A9C"/>
    <w:rsid w:val="00457F88"/>
    <w:rsid w:val="00461167"/>
    <w:rsid w:val="00463CE1"/>
    <w:rsid w:val="004749DE"/>
    <w:rsid w:val="00487351"/>
    <w:rsid w:val="00487C5F"/>
    <w:rsid w:val="004A2662"/>
    <w:rsid w:val="004A4D09"/>
    <w:rsid w:val="004A7DCC"/>
    <w:rsid w:val="004C74E2"/>
    <w:rsid w:val="004D1821"/>
    <w:rsid w:val="004D379D"/>
    <w:rsid w:val="004D463B"/>
    <w:rsid w:val="004D4BA4"/>
    <w:rsid w:val="004D577A"/>
    <w:rsid w:val="004D6AE2"/>
    <w:rsid w:val="004D7A9C"/>
    <w:rsid w:val="004E0C17"/>
    <w:rsid w:val="004F3872"/>
    <w:rsid w:val="00501EA5"/>
    <w:rsid w:val="00506043"/>
    <w:rsid w:val="00510373"/>
    <w:rsid w:val="00514109"/>
    <w:rsid w:val="00517FDA"/>
    <w:rsid w:val="00521FC0"/>
    <w:rsid w:val="005258F7"/>
    <w:rsid w:val="00525A7F"/>
    <w:rsid w:val="00534211"/>
    <w:rsid w:val="00535D92"/>
    <w:rsid w:val="00536C81"/>
    <w:rsid w:val="00536E5F"/>
    <w:rsid w:val="00541523"/>
    <w:rsid w:val="0054638E"/>
    <w:rsid w:val="00546E0A"/>
    <w:rsid w:val="005552ED"/>
    <w:rsid w:val="00561724"/>
    <w:rsid w:val="005663A9"/>
    <w:rsid w:val="00567C5E"/>
    <w:rsid w:val="00570A54"/>
    <w:rsid w:val="00571D6E"/>
    <w:rsid w:val="0057250B"/>
    <w:rsid w:val="00580A07"/>
    <w:rsid w:val="005814F3"/>
    <w:rsid w:val="00585D94"/>
    <w:rsid w:val="005934A5"/>
    <w:rsid w:val="00594E52"/>
    <w:rsid w:val="005A501D"/>
    <w:rsid w:val="005B5458"/>
    <w:rsid w:val="005B75F3"/>
    <w:rsid w:val="005C29A5"/>
    <w:rsid w:val="005C30F3"/>
    <w:rsid w:val="005D17FA"/>
    <w:rsid w:val="005D68BB"/>
    <w:rsid w:val="005D7059"/>
    <w:rsid w:val="005E54AD"/>
    <w:rsid w:val="005E7D53"/>
    <w:rsid w:val="005F6FE4"/>
    <w:rsid w:val="0060557E"/>
    <w:rsid w:val="00614A24"/>
    <w:rsid w:val="006159DD"/>
    <w:rsid w:val="006506BC"/>
    <w:rsid w:val="006537E5"/>
    <w:rsid w:val="00677662"/>
    <w:rsid w:val="006963D3"/>
    <w:rsid w:val="00696CD4"/>
    <w:rsid w:val="00697CA3"/>
    <w:rsid w:val="006A079A"/>
    <w:rsid w:val="006B1D86"/>
    <w:rsid w:val="006B2232"/>
    <w:rsid w:val="006B3405"/>
    <w:rsid w:val="006B55A5"/>
    <w:rsid w:val="006C320E"/>
    <w:rsid w:val="006C6747"/>
    <w:rsid w:val="006D2028"/>
    <w:rsid w:val="006D58C1"/>
    <w:rsid w:val="006E21B7"/>
    <w:rsid w:val="006E50B6"/>
    <w:rsid w:val="006F0D79"/>
    <w:rsid w:val="006F6BE1"/>
    <w:rsid w:val="00703DDF"/>
    <w:rsid w:val="007063D8"/>
    <w:rsid w:val="007101EE"/>
    <w:rsid w:val="00711E7F"/>
    <w:rsid w:val="0071282B"/>
    <w:rsid w:val="0071593E"/>
    <w:rsid w:val="007174DA"/>
    <w:rsid w:val="00720999"/>
    <w:rsid w:val="0072213C"/>
    <w:rsid w:val="007313C8"/>
    <w:rsid w:val="007412F3"/>
    <w:rsid w:val="00742463"/>
    <w:rsid w:val="00753EC8"/>
    <w:rsid w:val="00761D01"/>
    <w:rsid w:val="00763FF4"/>
    <w:rsid w:val="00767676"/>
    <w:rsid w:val="0077124F"/>
    <w:rsid w:val="00777859"/>
    <w:rsid w:val="00783383"/>
    <w:rsid w:val="007836C3"/>
    <w:rsid w:val="00786947"/>
    <w:rsid w:val="007901C5"/>
    <w:rsid w:val="00792455"/>
    <w:rsid w:val="00792F0F"/>
    <w:rsid w:val="007955D8"/>
    <w:rsid w:val="007A21F5"/>
    <w:rsid w:val="007A2D87"/>
    <w:rsid w:val="007A41D0"/>
    <w:rsid w:val="007A6DEC"/>
    <w:rsid w:val="007A7708"/>
    <w:rsid w:val="007B2F2C"/>
    <w:rsid w:val="007B5CA5"/>
    <w:rsid w:val="007C216D"/>
    <w:rsid w:val="007D26D2"/>
    <w:rsid w:val="007D2930"/>
    <w:rsid w:val="007D3480"/>
    <w:rsid w:val="007D6040"/>
    <w:rsid w:val="007E6CD4"/>
    <w:rsid w:val="007F0C5E"/>
    <w:rsid w:val="007F3DE8"/>
    <w:rsid w:val="008033EF"/>
    <w:rsid w:val="00803466"/>
    <w:rsid w:val="008039D4"/>
    <w:rsid w:val="00807679"/>
    <w:rsid w:val="00810B7C"/>
    <w:rsid w:val="00816375"/>
    <w:rsid w:val="00816846"/>
    <w:rsid w:val="00822158"/>
    <w:rsid w:val="00830770"/>
    <w:rsid w:val="00843D4B"/>
    <w:rsid w:val="0085321F"/>
    <w:rsid w:val="008553F8"/>
    <w:rsid w:val="00865A5A"/>
    <w:rsid w:val="00870081"/>
    <w:rsid w:val="008734D3"/>
    <w:rsid w:val="00876A86"/>
    <w:rsid w:val="00893360"/>
    <w:rsid w:val="00893A1D"/>
    <w:rsid w:val="008A026D"/>
    <w:rsid w:val="008A1700"/>
    <w:rsid w:val="008A6645"/>
    <w:rsid w:val="008B2289"/>
    <w:rsid w:val="008B4149"/>
    <w:rsid w:val="008E3AF4"/>
    <w:rsid w:val="008E4A76"/>
    <w:rsid w:val="008F3358"/>
    <w:rsid w:val="00907A51"/>
    <w:rsid w:val="0091023F"/>
    <w:rsid w:val="00931F83"/>
    <w:rsid w:val="00932B52"/>
    <w:rsid w:val="00932E86"/>
    <w:rsid w:val="00934927"/>
    <w:rsid w:val="00940F98"/>
    <w:rsid w:val="00941496"/>
    <w:rsid w:val="009531C9"/>
    <w:rsid w:val="00953974"/>
    <w:rsid w:val="00953FF5"/>
    <w:rsid w:val="00963C56"/>
    <w:rsid w:val="00973259"/>
    <w:rsid w:val="00976589"/>
    <w:rsid w:val="0098048D"/>
    <w:rsid w:val="00980B3D"/>
    <w:rsid w:val="009852C7"/>
    <w:rsid w:val="0098550F"/>
    <w:rsid w:val="00985B2D"/>
    <w:rsid w:val="00986BCC"/>
    <w:rsid w:val="00986F03"/>
    <w:rsid w:val="009872FA"/>
    <w:rsid w:val="00987D08"/>
    <w:rsid w:val="00993A02"/>
    <w:rsid w:val="009A217B"/>
    <w:rsid w:val="009B0A8C"/>
    <w:rsid w:val="009B4EDB"/>
    <w:rsid w:val="009C5A23"/>
    <w:rsid w:val="009C7D1E"/>
    <w:rsid w:val="009D2492"/>
    <w:rsid w:val="009D7B1B"/>
    <w:rsid w:val="009E30AD"/>
    <w:rsid w:val="009F6F9D"/>
    <w:rsid w:val="009F78C8"/>
    <w:rsid w:val="00A11044"/>
    <w:rsid w:val="00A11070"/>
    <w:rsid w:val="00A1785C"/>
    <w:rsid w:val="00A232C0"/>
    <w:rsid w:val="00A34725"/>
    <w:rsid w:val="00A42FAA"/>
    <w:rsid w:val="00A452E0"/>
    <w:rsid w:val="00A46FDC"/>
    <w:rsid w:val="00A50D13"/>
    <w:rsid w:val="00A55AD1"/>
    <w:rsid w:val="00A572E4"/>
    <w:rsid w:val="00A67D8B"/>
    <w:rsid w:val="00A821E1"/>
    <w:rsid w:val="00A84D7F"/>
    <w:rsid w:val="00A8524E"/>
    <w:rsid w:val="00A90FCF"/>
    <w:rsid w:val="00A92930"/>
    <w:rsid w:val="00A933BC"/>
    <w:rsid w:val="00A93851"/>
    <w:rsid w:val="00AA0074"/>
    <w:rsid w:val="00AB5181"/>
    <w:rsid w:val="00AB72BE"/>
    <w:rsid w:val="00AC486A"/>
    <w:rsid w:val="00AC4DB4"/>
    <w:rsid w:val="00AC55B1"/>
    <w:rsid w:val="00AC589B"/>
    <w:rsid w:val="00AC63CC"/>
    <w:rsid w:val="00AD2DBD"/>
    <w:rsid w:val="00AD4C6A"/>
    <w:rsid w:val="00AE1815"/>
    <w:rsid w:val="00AE20C2"/>
    <w:rsid w:val="00AE316C"/>
    <w:rsid w:val="00AE3AF1"/>
    <w:rsid w:val="00AE3E7C"/>
    <w:rsid w:val="00AE4A01"/>
    <w:rsid w:val="00AE7609"/>
    <w:rsid w:val="00AF32F8"/>
    <w:rsid w:val="00B003A7"/>
    <w:rsid w:val="00B04B20"/>
    <w:rsid w:val="00B06AB9"/>
    <w:rsid w:val="00B1215C"/>
    <w:rsid w:val="00B17BA4"/>
    <w:rsid w:val="00B20BBD"/>
    <w:rsid w:val="00B248B5"/>
    <w:rsid w:val="00B2521E"/>
    <w:rsid w:val="00B25381"/>
    <w:rsid w:val="00B37A39"/>
    <w:rsid w:val="00B417C6"/>
    <w:rsid w:val="00B47251"/>
    <w:rsid w:val="00B55117"/>
    <w:rsid w:val="00B5620A"/>
    <w:rsid w:val="00B566D7"/>
    <w:rsid w:val="00B607C7"/>
    <w:rsid w:val="00B635D9"/>
    <w:rsid w:val="00B64595"/>
    <w:rsid w:val="00B651BD"/>
    <w:rsid w:val="00B70D8B"/>
    <w:rsid w:val="00B73866"/>
    <w:rsid w:val="00B76E34"/>
    <w:rsid w:val="00B8267B"/>
    <w:rsid w:val="00B831AF"/>
    <w:rsid w:val="00B87A29"/>
    <w:rsid w:val="00B90C56"/>
    <w:rsid w:val="00B948F9"/>
    <w:rsid w:val="00B96E2C"/>
    <w:rsid w:val="00B97F70"/>
    <w:rsid w:val="00BA4AF8"/>
    <w:rsid w:val="00BA65A9"/>
    <w:rsid w:val="00BB469E"/>
    <w:rsid w:val="00BC072A"/>
    <w:rsid w:val="00BC73FD"/>
    <w:rsid w:val="00BD3A23"/>
    <w:rsid w:val="00BD5BEE"/>
    <w:rsid w:val="00BE47B7"/>
    <w:rsid w:val="00BF08AE"/>
    <w:rsid w:val="00C02BB4"/>
    <w:rsid w:val="00C32094"/>
    <w:rsid w:val="00C362E7"/>
    <w:rsid w:val="00C47365"/>
    <w:rsid w:val="00C6051A"/>
    <w:rsid w:val="00C61C83"/>
    <w:rsid w:val="00C67D33"/>
    <w:rsid w:val="00C71BFA"/>
    <w:rsid w:val="00C81A11"/>
    <w:rsid w:val="00C82FA7"/>
    <w:rsid w:val="00C85FED"/>
    <w:rsid w:val="00C92BB7"/>
    <w:rsid w:val="00C941B9"/>
    <w:rsid w:val="00CA2156"/>
    <w:rsid w:val="00CA3175"/>
    <w:rsid w:val="00CA359E"/>
    <w:rsid w:val="00CA6C45"/>
    <w:rsid w:val="00CB08AB"/>
    <w:rsid w:val="00CB3519"/>
    <w:rsid w:val="00CC23A5"/>
    <w:rsid w:val="00CC65B1"/>
    <w:rsid w:val="00CC6906"/>
    <w:rsid w:val="00CE11E3"/>
    <w:rsid w:val="00CE1E93"/>
    <w:rsid w:val="00CE2261"/>
    <w:rsid w:val="00CE556A"/>
    <w:rsid w:val="00CF3707"/>
    <w:rsid w:val="00CF4D74"/>
    <w:rsid w:val="00CF7E09"/>
    <w:rsid w:val="00D02E55"/>
    <w:rsid w:val="00D06B3E"/>
    <w:rsid w:val="00D103D7"/>
    <w:rsid w:val="00D127D8"/>
    <w:rsid w:val="00D16994"/>
    <w:rsid w:val="00D21654"/>
    <w:rsid w:val="00D2622F"/>
    <w:rsid w:val="00D411A5"/>
    <w:rsid w:val="00D43980"/>
    <w:rsid w:val="00D44A2D"/>
    <w:rsid w:val="00D478EE"/>
    <w:rsid w:val="00D50B7E"/>
    <w:rsid w:val="00D51EDD"/>
    <w:rsid w:val="00D542F0"/>
    <w:rsid w:val="00D5540F"/>
    <w:rsid w:val="00D662CC"/>
    <w:rsid w:val="00D677EF"/>
    <w:rsid w:val="00D70D98"/>
    <w:rsid w:val="00D71D39"/>
    <w:rsid w:val="00D80D23"/>
    <w:rsid w:val="00D84835"/>
    <w:rsid w:val="00D8765F"/>
    <w:rsid w:val="00DA19A0"/>
    <w:rsid w:val="00DA2315"/>
    <w:rsid w:val="00DA6694"/>
    <w:rsid w:val="00DB25F8"/>
    <w:rsid w:val="00DB4621"/>
    <w:rsid w:val="00DD18BC"/>
    <w:rsid w:val="00DE5C33"/>
    <w:rsid w:val="00DE64F2"/>
    <w:rsid w:val="00DF286E"/>
    <w:rsid w:val="00DF4E0E"/>
    <w:rsid w:val="00DF74FD"/>
    <w:rsid w:val="00E00DDD"/>
    <w:rsid w:val="00E02DE8"/>
    <w:rsid w:val="00E05775"/>
    <w:rsid w:val="00E103BE"/>
    <w:rsid w:val="00E14627"/>
    <w:rsid w:val="00E164BE"/>
    <w:rsid w:val="00E17EAC"/>
    <w:rsid w:val="00E259A7"/>
    <w:rsid w:val="00E26885"/>
    <w:rsid w:val="00E31965"/>
    <w:rsid w:val="00E4030D"/>
    <w:rsid w:val="00E40DF3"/>
    <w:rsid w:val="00E43A11"/>
    <w:rsid w:val="00E43A45"/>
    <w:rsid w:val="00E44A25"/>
    <w:rsid w:val="00E470CF"/>
    <w:rsid w:val="00E52979"/>
    <w:rsid w:val="00E670F4"/>
    <w:rsid w:val="00E70C6F"/>
    <w:rsid w:val="00E72CC1"/>
    <w:rsid w:val="00E8569F"/>
    <w:rsid w:val="00EA08AC"/>
    <w:rsid w:val="00EA5C0D"/>
    <w:rsid w:val="00EB0497"/>
    <w:rsid w:val="00EB05D3"/>
    <w:rsid w:val="00EB200D"/>
    <w:rsid w:val="00EB2D31"/>
    <w:rsid w:val="00EB4AAD"/>
    <w:rsid w:val="00EC150C"/>
    <w:rsid w:val="00EC4371"/>
    <w:rsid w:val="00ED4679"/>
    <w:rsid w:val="00F04F21"/>
    <w:rsid w:val="00F11692"/>
    <w:rsid w:val="00F21136"/>
    <w:rsid w:val="00F320FC"/>
    <w:rsid w:val="00F41C88"/>
    <w:rsid w:val="00F42357"/>
    <w:rsid w:val="00F432E9"/>
    <w:rsid w:val="00F526CE"/>
    <w:rsid w:val="00F564F9"/>
    <w:rsid w:val="00F5741D"/>
    <w:rsid w:val="00F62BD1"/>
    <w:rsid w:val="00F67C79"/>
    <w:rsid w:val="00F73A6E"/>
    <w:rsid w:val="00F743BA"/>
    <w:rsid w:val="00F80867"/>
    <w:rsid w:val="00F811B5"/>
    <w:rsid w:val="00F83FA2"/>
    <w:rsid w:val="00F93615"/>
    <w:rsid w:val="00FA7564"/>
    <w:rsid w:val="00FB033D"/>
    <w:rsid w:val="00FB21AF"/>
    <w:rsid w:val="00FB4413"/>
    <w:rsid w:val="00FC0C29"/>
    <w:rsid w:val="00FC5F31"/>
    <w:rsid w:val="00FD26CD"/>
    <w:rsid w:val="00FD653E"/>
    <w:rsid w:val="00FE1188"/>
    <w:rsid w:val="00FE46AB"/>
    <w:rsid w:val="00FE567A"/>
    <w:rsid w:val="00FF0059"/>
    <w:rsid w:val="00FF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BodyText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2E378C"/>
    <w:pPr>
      <w:spacing w:after="120"/>
    </w:pPr>
  </w:style>
  <w:style w:type="paragraph" w:styleId="List">
    <w:name w:val="List"/>
    <w:basedOn w:val="BodyText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aption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BalloonText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Heading3Char">
    <w:name w:val="Heading 3 Char"/>
    <w:link w:val="Heading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46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6C3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6C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49B8-B88B-4316-B2DF-B85E9C37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24</Pages>
  <Words>9102</Words>
  <Characters>51887</Characters>
  <Application>Microsoft Office Word</Application>
  <DocSecurity>0</DocSecurity>
  <Lines>432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60868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mdikic</cp:lastModifiedBy>
  <cp:revision>157</cp:revision>
  <cp:lastPrinted>2017-02-14T10:46:00Z</cp:lastPrinted>
  <dcterms:created xsi:type="dcterms:W3CDTF">2018-01-11T12:58:00Z</dcterms:created>
  <dcterms:modified xsi:type="dcterms:W3CDTF">2018-02-14T07:08:00Z</dcterms:modified>
</cp:coreProperties>
</file>