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ECAD" w14:textId="77777777" w:rsidR="00EA306A" w:rsidRDefault="00EA306A">
      <w:pPr>
        <w:jc w:val="center"/>
        <w:rPr>
          <w:b/>
          <w:sz w:val="28"/>
          <w:szCs w:val="28"/>
        </w:rPr>
      </w:pPr>
    </w:p>
    <w:p w14:paraId="54A494AB" w14:textId="77777777" w:rsidR="008F269A" w:rsidRPr="008F269A" w:rsidRDefault="00EA306A">
      <w:pPr>
        <w:jc w:val="center"/>
        <w:rPr>
          <w:b/>
          <w:i/>
          <w:sz w:val="32"/>
          <w:szCs w:val="32"/>
        </w:rPr>
      </w:pPr>
      <w:r w:rsidRPr="008F269A">
        <w:rPr>
          <w:b/>
          <w:i/>
          <w:sz w:val="32"/>
          <w:szCs w:val="32"/>
        </w:rPr>
        <w:t>JAVNA USTANOVA ŠPORTSKI OBJEKTI KAŠTELA</w:t>
      </w:r>
    </w:p>
    <w:p w14:paraId="48E84C92" w14:textId="77777777" w:rsidR="00EA306A" w:rsidRPr="008F269A" w:rsidRDefault="00EA306A">
      <w:pPr>
        <w:jc w:val="center"/>
        <w:rPr>
          <w:b/>
          <w:i/>
          <w:sz w:val="32"/>
          <w:szCs w:val="32"/>
        </w:rPr>
      </w:pPr>
      <w:r w:rsidRPr="008F269A">
        <w:rPr>
          <w:b/>
          <w:i/>
          <w:sz w:val="32"/>
          <w:szCs w:val="32"/>
        </w:rPr>
        <w:t xml:space="preserve"> </w:t>
      </w:r>
    </w:p>
    <w:p w14:paraId="12CE5ED3" w14:textId="618F0B6B" w:rsidR="00EA306A" w:rsidRPr="008F269A" w:rsidRDefault="00EA306A">
      <w:pPr>
        <w:jc w:val="center"/>
        <w:rPr>
          <w:b/>
          <w:i/>
          <w:sz w:val="32"/>
          <w:szCs w:val="32"/>
        </w:rPr>
      </w:pPr>
      <w:r w:rsidRPr="008F269A">
        <w:rPr>
          <w:b/>
          <w:i/>
          <w:sz w:val="32"/>
          <w:szCs w:val="32"/>
        </w:rPr>
        <w:t>OBRA</w:t>
      </w:r>
      <w:r w:rsidR="00E439D7" w:rsidRPr="008F269A">
        <w:rPr>
          <w:b/>
          <w:i/>
          <w:sz w:val="32"/>
          <w:szCs w:val="32"/>
        </w:rPr>
        <w:t xml:space="preserve">ZLOŽENJE FINANCIJSKOG PLANA </w:t>
      </w:r>
      <w:r w:rsidR="00833573">
        <w:rPr>
          <w:b/>
          <w:i/>
          <w:sz w:val="32"/>
          <w:szCs w:val="32"/>
        </w:rPr>
        <w:t xml:space="preserve">ZA RAZDBOBLJE </w:t>
      </w:r>
      <w:r w:rsidR="00AF10CF">
        <w:rPr>
          <w:b/>
          <w:i/>
          <w:sz w:val="32"/>
          <w:szCs w:val="32"/>
        </w:rPr>
        <w:t>202</w:t>
      </w:r>
      <w:r w:rsidR="00450B63">
        <w:rPr>
          <w:b/>
          <w:i/>
          <w:sz w:val="32"/>
          <w:szCs w:val="32"/>
        </w:rPr>
        <w:t>3</w:t>
      </w:r>
      <w:r w:rsidR="00E439D7" w:rsidRPr="008F269A">
        <w:rPr>
          <w:b/>
          <w:i/>
          <w:sz w:val="32"/>
          <w:szCs w:val="32"/>
        </w:rPr>
        <w:t>.</w:t>
      </w:r>
      <w:r w:rsidR="00B93232">
        <w:rPr>
          <w:b/>
          <w:i/>
          <w:sz w:val="32"/>
          <w:szCs w:val="32"/>
        </w:rPr>
        <w:t xml:space="preserve"> </w:t>
      </w:r>
      <w:r w:rsidR="00E439D7" w:rsidRPr="008F269A">
        <w:rPr>
          <w:b/>
          <w:i/>
          <w:sz w:val="32"/>
          <w:szCs w:val="32"/>
        </w:rPr>
        <w:t>-</w:t>
      </w:r>
      <w:r w:rsidR="00B93232">
        <w:rPr>
          <w:b/>
          <w:i/>
          <w:sz w:val="32"/>
          <w:szCs w:val="32"/>
        </w:rPr>
        <w:t xml:space="preserve"> </w:t>
      </w:r>
      <w:r w:rsidR="00AF10CF">
        <w:rPr>
          <w:b/>
          <w:i/>
          <w:sz w:val="32"/>
          <w:szCs w:val="32"/>
        </w:rPr>
        <w:t>202</w:t>
      </w:r>
      <w:r w:rsidR="00450B63">
        <w:rPr>
          <w:b/>
          <w:i/>
          <w:sz w:val="32"/>
          <w:szCs w:val="32"/>
        </w:rPr>
        <w:t>5</w:t>
      </w:r>
      <w:r w:rsidRPr="008F269A">
        <w:rPr>
          <w:b/>
          <w:i/>
          <w:sz w:val="32"/>
          <w:szCs w:val="32"/>
        </w:rPr>
        <w:t>.</w:t>
      </w:r>
      <w:r w:rsidR="00833573">
        <w:rPr>
          <w:b/>
          <w:i/>
          <w:sz w:val="32"/>
          <w:szCs w:val="32"/>
        </w:rPr>
        <w:t xml:space="preserve"> GODINE</w:t>
      </w:r>
    </w:p>
    <w:p w14:paraId="121879B4" w14:textId="77777777" w:rsidR="00EA306A" w:rsidRPr="008F269A" w:rsidRDefault="00EA306A">
      <w:pPr>
        <w:rPr>
          <w:b/>
          <w:i/>
          <w:sz w:val="32"/>
          <w:szCs w:val="32"/>
        </w:rPr>
      </w:pPr>
    </w:p>
    <w:p w14:paraId="5001B8F2" w14:textId="77777777" w:rsidR="00EA306A" w:rsidRDefault="00EA306A">
      <w:pPr>
        <w:rPr>
          <w:b/>
        </w:rPr>
      </w:pPr>
    </w:p>
    <w:p w14:paraId="6D20EB7C" w14:textId="77777777" w:rsidR="00EA306A" w:rsidRDefault="00EA306A">
      <w:pPr>
        <w:rPr>
          <w:b/>
        </w:rPr>
      </w:pPr>
    </w:p>
    <w:p w14:paraId="22F6F081" w14:textId="77777777" w:rsidR="00EA306A" w:rsidRDefault="00EA306A">
      <w:pPr>
        <w:rPr>
          <w:b/>
          <w:sz w:val="28"/>
          <w:szCs w:val="28"/>
        </w:rPr>
      </w:pPr>
    </w:p>
    <w:p w14:paraId="76755376" w14:textId="77777777" w:rsidR="00EA306A" w:rsidRDefault="00EA306A">
      <w:pPr>
        <w:numPr>
          <w:ilvl w:val="0"/>
          <w:numId w:val="1"/>
        </w:num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UVOD </w:t>
      </w:r>
    </w:p>
    <w:p w14:paraId="0E0FC477" w14:textId="77777777" w:rsidR="00EA306A" w:rsidRDefault="00EA306A">
      <w:pPr>
        <w:rPr>
          <w:b/>
          <w:sz w:val="28"/>
          <w:szCs w:val="28"/>
        </w:rPr>
      </w:pPr>
    </w:p>
    <w:p w14:paraId="0DF0C09B" w14:textId="77777777" w:rsidR="00EA306A" w:rsidRDefault="00EA306A">
      <w:pPr>
        <w:rPr>
          <w:b/>
          <w:sz w:val="28"/>
          <w:szCs w:val="28"/>
        </w:rPr>
      </w:pPr>
    </w:p>
    <w:p w14:paraId="6819B6B3" w14:textId="77777777" w:rsidR="00EA306A" w:rsidRDefault="00EA30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Sažetak djelokruga rada Javne ustanove Športski objekti  Kaštela</w:t>
      </w:r>
    </w:p>
    <w:p w14:paraId="3D82DA4D" w14:textId="77777777" w:rsidR="00EA306A" w:rsidRDefault="00EA306A">
      <w:pPr>
        <w:rPr>
          <w:sz w:val="28"/>
          <w:szCs w:val="28"/>
        </w:rPr>
      </w:pPr>
    </w:p>
    <w:p w14:paraId="5FFD9DAD" w14:textId="77777777" w:rsidR="00EA306A" w:rsidRDefault="00EA306A">
      <w:pPr>
        <w:jc w:val="both"/>
      </w:pPr>
      <w:r>
        <w:tab/>
      </w:r>
    </w:p>
    <w:p w14:paraId="1F96F0A8" w14:textId="79ED46B7" w:rsidR="00EA306A" w:rsidRDefault="00EA306A">
      <w:pPr>
        <w:jc w:val="both"/>
      </w:pPr>
      <w:r>
        <w:tab/>
        <w:t xml:space="preserve">Javna ustanova </w:t>
      </w:r>
      <w:r w:rsidR="008260F2">
        <w:t>„</w:t>
      </w:r>
      <w:r>
        <w:t>Športski objekti Kaštela</w:t>
      </w:r>
      <w:r w:rsidR="008260F2">
        <w:t>“</w:t>
      </w:r>
      <w:r>
        <w:t xml:space="preserve"> osnovana je radi obavljanja športske i rekreativne djelatnosti. Osnivač je Grad Kaštela koji vrši nadzor nad radom Ustanove, sukladno Zakonu o ustanovama i Zakonu o športu.</w:t>
      </w:r>
    </w:p>
    <w:p w14:paraId="7C9B2BB4" w14:textId="77777777" w:rsidR="00EA306A" w:rsidRDefault="00EA306A">
      <w:pPr>
        <w:jc w:val="both"/>
      </w:pPr>
    </w:p>
    <w:p w14:paraId="67E88DF3" w14:textId="337D7055" w:rsidR="00EA306A" w:rsidRDefault="00EA306A">
      <w:pPr>
        <w:jc w:val="both"/>
      </w:pPr>
      <w:r>
        <w:tab/>
        <w:t xml:space="preserve">Javna ustanova </w:t>
      </w:r>
      <w:r w:rsidR="008260F2">
        <w:t>„</w:t>
      </w:r>
      <w:r>
        <w:t>Športski objekti Kaštela</w:t>
      </w:r>
      <w:r w:rsidR="008260F2">
        <w:t>“</w:t>
      </w:r>
      <w:r>
        <w:t xml:space="preserve"> javn</w:t>
      </w:r>
      <w:r w:rsidR="004D7DF0">
        <w:t>a je U</w:t>
      </w:r>
      <w:r w:rsidR="00733339">
        <w:t>stanova iz oblasti športa</w:t>
      </w:r>
      <w:r>
        <w:t xml:space="preserve">, a obavlja djelatnosti utvrđene Odlukom o osnivanju i Statutom. </w:t>
      </w:r>
    </w:p>
    <w:p w14:paraId="5F9AA354" w14:textId="77777777" w:rsidR="00EA306A" w:rsidRDefault="00EA306A">
      <w:pPr>
        <w:jc w:val="both"/>
      </w:pPr>
    </w:p>
    <w:p w14:paraId="4A78B79D" w14:textId="77777777" w:rsidR="00EA306A" w:rsidRDefault="00EA306A">
      <w:pPr>
        <w:jc w:val="both"/>
      </w:pPr>
      <w:r>
        <w:tab/>
        <w:t xml:space="preserve">Djelatnost Ustanove obuhvaća sljedeće: </w:t>
      </w:r>
    </w:p>
    <w:p w14:paraId="1428E3AB" w14:textId="77777777" w:rsidR="00EA306A" w:rsidRDefault="00EA306A">
      <w:pPr>
        <w:jc w:val="both"/>
      </w:pPr>
    </w:p>
    <w:p w14:paraId="7FB2E498" w14:textId="77777777" w:rsidR="00EA306A" w:rsidRDefault="00EA306A">
      <w:pPr>
        <w:numPr>
          <w:ilvl w:val="0"/>
          <w:numId w:val="3"/>
        </w:numPr>
        <w:jc w:val="both"/>
      </w:pPr>
      <w:r>
        <w:t>upravljanje i održavanje športskih objekata u vlasništvu Grada Kaštela</w:t>
      </w:r>
    </w:p>
    <w:p w14:paraId="0CF89462" w14:textId="77777777" w:rsidR="00EA306A" w:rsidRDefault="00EA306A">
      <w:pPr>
        <w:numPr>
          <w:ilvl w:val="0"/>
          <w:numId w:val="3"/>
        </w:numPr>
        <w:jc w:val="both"/>
      </w:pPr>
      <w:r>
        <w:t>športska poduka</w:t>
      </w:r>
    </w:p>
    <w:p w14:paraId="37611C23" w14:textId="77777777" w:rsidR="00EA306A" w:rsidRDefault="00EA306A">
      <w:pPr>
        <w:numPr>
          <w:ilvl w:val="0"/>
          <w:numId w:val="3"/>
        </w:numPr>
        <w:jc w:val="both"/>
      </w:pPr>
      <w:r>
        <w:t>športska rekreacija</w:t>
      </w:r>
    </w:p>
    <w:p w14:paraId="23814ED2" w14:textId="77777777" w:rsidR="00EA306A" w:rsidRDefault="00EA306A">
      <w:pPr>
        <w:jc w:val="both"/>
      </w:pPr>
      <w:r>
        <w:tab/>
      </w:r>
    </w:p>
    <w:p w14:paraId="32B99B8B" w14:textId="77777777" w:rsidR="00EA306A" w:rsidRDefault="00EA306A">
      <w:pPr>
        <w:jc w:val="both"/>
      </w:pPr>
      <w:r>
        <w:tab/>
        <w:t>Pored gore navedenih djelatnosti Ustanova može obavljati i druge djelatnosti koje služe obavljanju djelatnosti upisanih u sudski registar, ako su one u manjem opse</w:t>
      </w:r>
      <w:r w:rsidR="003265F5">
        <w:t>gu ili se uobičajeno obavljaju i</w:t>
      </w:r>
      <w:r>
        <w:t>z upisane djelatnosti.</w:t>
      </w:r>
    </w:p>
    <w:p w14:paraId="1590E164" w14:textId="77777777" w:rsidR="00EA306A" w:rsidRDefault="00EA306A">
      <w:pPr>
        <w:jc w:val="both"/>
      </w:pPr>
    </w:p>
    <w:p w14:paraId="72236E26" w14:textId="77777777" w:rsidR="00EA306A" w:rsidRDefault="00EA306A">
      <w:pPr>
        <w:jc w:val="both"/>
      </w:pPr>
      <w:r>
        <w:tab/>
        <w:t xml:space="preserve">Ustanova posluje samostalno i obavlja svoju djelatnosti na način određen zakonom, Odlukom o osnivanju, Statutom i drugim općim aktima Ustanove. </w:t>
      </w:r>
    </w:p>
    <w:p w14:paraId="5445AA2E" w14:textId="77777777" w:rsidR="00EA306A" w:rsidRDefault="00EA306A">
      <w:pPr>
        <w:jc w:val="both"/>
      </w:pPr>
    </w:p>
    <w:p w14:paraId="0F9E82A7" w14:textId="77777777" w:rsidR="00EA306A" w:rsidRDefault="00EA306A">
      <w:pPr>
        <w:jc w:val="both"/>
      </w:pPr>
      <w:r>
        <w:tab/>
        <w:t>Rad ustanove financira se iz zakonski  predviđenih izvora financiranja:</w:t>
      </w:r>
    </w:p>
    <w:p w14:paraId="4F06EF46" w14:textId="77777777" w:rsidR="00EA306A" w:rsidRDefault="00EA306A">
      <w:pPr>
        <w:jc w:val="both"/>
      </w:pPr>
    </w:p>
    <w:p w14:paraId="58162985" w14:textId="77777777" w:rsidR="00EA306A" w:rsidRDefault="00EA306A">
      <w:pPr>
        <w:numPr>
          <w:ilvl w:val="0"/>
          <w:numId w:val="4"/>
        </w:numPr>
        <w:jc w:val="both"/>
      </w:pPr>
      <w:r>
        <w:t>sredstva iz proračuna Grada Kaštela, Županije i Republike Hrvatske,</w:t>
      </w:r>
    </w:p>
    <w:p w14:paraId="6543AC08" w14:textId="77777777" w:rsidR="00EA306A" w:rsidRDefault="00EA306A">
      <w:pPr>
        <w:numPr>
          <w:ilvl w:val="0"/>
          <w:numId w:val="4"/>
        </w:numPr>
        <w:jc w:val="both"/>
      </w:pPr>
      <w:r>
        <w:t>prihoda od imovine i prava,</w:t>
      </w:r>
    </w:p>
    <w:p w14:paraId="702B8B24" w14:textId="77777777" w:rsidR="00EA306A" w:rsidRDefault="00EA306A">
      <w:pPr>
        <w:numPr>
          <w:ilvl w:val="0"/>
          <w:numId w:val="4"/>
        </w:numPr>
        <w:jc w:val="both"/>
      </w:pPr>
      <w:r>
        <w:t xml:space="preserve">pružanja usluga korisnicima, </w:t>
      </w:r>
    </w:p>
    <w:p w14:paraId="5185D4EB" w14:textId="77777777" w:rsidR="00EA306A" w:rsidRDefault="00EA306A">
      <w:pPr>
        <w:numPr>
          <w:ilvl w:val="0"/>
          <w:numId w:val="4"/>
        </w:numPr>
        <w:jc w:val="both"/>
      </w:pPr>
      <w:r>
        <w:t>drugih izvora u skladu sa zakonom.</w:t>
      </w:r>
    </w:p>
    <w:p w14:paraId="16462A7E" w14:textId="77777777" w:rsidR="00EC189D" w:rsidRDefault="00EC189D" w:rsidP="00EC189D">
      <w:pPr>
        <w:jc w:val="both"/>
      </w:pPr>
    </w:p>
    <w:p w14:paraId="1CD8E590" w14:textId="77777777" w:rsidR="00EC189D" w:rsidRDefault="00EC189D" w:rsidP="00EC189D">
      <w:pPr>
        <w:jc w:val="both"/>
      </w:pPr>
    </w:p>
    <w:p w14:paraId="47EB8B38" w14:textId="77777777" w:rsidR="00EA306A" w:rsidRDefault="00EC189D" w:rsidP="002A1247">
      <w:pPr>
        <w:ind w:firstLine="360"/>
        <w:jc w:val="both"/>
      </w:pPr>
      <w:r>
        <w:t>U sklad</w:t>
      </w:r>
      <w:r w:rsidR="00D53EBE">
        <w:t>u s potrebama naveden</w:t>
      </w:r>
      <w:r>
        <w:t xml:space="preserve"> je i prijedlog potrebnih prihoda odnosno </w:t>
      </w:r>
      <w:r w:rsidR="0001125D">
        <w:t>rashoda nužnih u ost</w:t>
      </w:r>
      <w:r w:rsidR="00CD7C19">
        <w:t xml:space="preserve">varenju </w:t>
      </w:r>
      <w:r w:rsidR="00FE6631">
        <w:t>pojedini</w:t>
      </w:r>
      <w:r w:rsidR="00A63B31">
        <w:t>h aktivnosti</w:t>
      </w:r>
      <w:r w:rsidR="00042822">
        <w:t>.</w:t>
      </w:r>
    </w:p>
    <w:p w14:paraId="3248CF3E" w14:textId="77777777" w:rsidR="00EA306A" w:rsidRDefault="00EA306A">
      <w:pPr>
        <w:jc w:val="both"/>
      </w:pPr>
    </w:p>
    <w:p w14:paraId="2E434694" w14:textId="77777777" w:rsidR="002A1247" w:rsidRDefault="002A1247" w:rsidP="002A1247"/>
    <w:p w14:paraId="65F7796D" w14:textId="77777777" w:rsidR="00EA306A" w:rsidRDefault="00EA306A" w:rsidP="002A1247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2. OBRAZLOŽENJE PRIJEDLOGA PLANA PRIHODA/RASHODA</w:t>
      </w:r>
    </w:p>
    <w:p w14:paraId="61FA2662" w14:textId="77777777" w:rsidR="00EA306A" w:rsidRDefault="00EA306A">
      <w:pPr>
        <w:jc w:val="both"/>
        <w:rPr>
          <w:b/>
          <w:bCs/>
          <w:sz w:val="28"/>
          <w:szCs w:val="28"/>
        </w:rPr>
      </w:pPr>
    </w:p>
    <w:p w14:paraId="549F6AFF" w14:textId="77777777" w:rsidR="00EA306A" w:rsidRDefault="00EA306A">
      <w:pPr>
        <w:jc w:val="both"/>
      </w:pPr>
    </w:p>
    <w:p w14:paraId="02D899F9" w14:textId="5FA8E708" w:rsidR="00EA306A" w:rsidRDefault="006A4D83">
      <w:pPr>
        <w:jc w:val="both"/>
      </w:pPr>
      <w:r>
        <w:tab/>
        <w:t>U skladu sa od</w:t>
      </w:r>
      <w:r w:rsidR="00E94223">
        <w:t>r</w:t>
      </w:r>
      <w:r>
        <w:t>e</w:t>
      </w:r>
      <w:r w:rsidR="00E94223">
        <w:t>dbama</w:t>
      </w:r>
      <w:r w:rsidR="00EA306A">
        <w:t xml:space="preserve"> Zakona o proračunu (NN 87/08., 136/12.</w:t>
      </w:r>
      <w:r w:rsidR="00876ED8">
        <w:t>,</w:t>
      </w:r>
      <w:r w:rsidR="002B5453">
        <w:t xml:space="preserve"> 15/15.</w:t>
      </w:r>
      <w:r w:rsidR="00876ED8">
        <w:t xml:space="preserve"> I 144/21.</w:t>
      </w:r>
      <w:r w:rsidR="00EA306A">
        <w:t>), Pravilnika o proračun</w:t>
      </w:r>
      <w:r w:rsidR="0075018C">
        <w:t>s</w:t>
      </w:r>
      <w:r w:rsidR="00894FAF">
        <w:t>kim klasifikacijama (NN 26/10.,</w:t>
      </w:r>
      <w:r w:rsidR="00EA306A">
        <w:t xml:space="preserve"> 120/13.</w:t>
      </w:r>
      <w:r w:rsidR="00894FAF">
        <w:t xml:space="preserve"> i 1/20.</w:t>
      </w:r>
      <w:r w:rsidR="00EA306A">
        <w:t>)</w:t>
      </w:r>
      <w:r w:rsidR="00B54509">
        <w:t>, Pravilnika o proraču</w:t>
      </w:r>
      <w:r w:rsidR="00D7545B">
        <w:t>nskom računovodstvu i Raču</w:t>
      </w:r>
      <w:r w:rsidR="00B54509">
        <w:t>nskom planu</w:t>
      </w:r>
      <w:r w:rsidR="00D7545B">
        <w:t xml:space="preserve"> (NN 124/14</w:t>
      </w:r>
      <w:r w:rsidR="00121228">
        <w:t>.</w:t>
      </w:r>
      <w:r w:rsidR="00D7545B">
        <w:t>, 115/15</w:t>
      </w:r>
      <w:r w:rsidR="00121228">
        <w:t>.,</w:t>
      </w:r>
      <w:r w:rsidR="00D7545B">
        <w:t xml:space="preserve"> 87/16</w:t>
      </w:r>
      <w:r w:rsidR="00121228">
        <w:t>.</w:t>
      </w:r>
      <w:r w:rsidR="0055530F">
        <w:t xml:space="preserve"> i</w:t>
      </w:r>
      <w:r w:rsidR="003D467E">
        <w:t xml:space="preserve"> 3/18.</w:t>
      </w:r>
      <w:r w:rsidR="00991FC2">
        <w:t>, 126/19. i 108/20.</w:t>
      </w:r>
      <w:r w:rsidR="00D7545B">
        <w:t>)</w:t>
      </w:r>
      <w:r w:rsidR="00EA306A">
        <w:t xml:space="preserve"> te Uputa za izradu proračuna</w:t>
      </w:r>
      <w:r w:rsidR="00D7545B">
        <w:t xml:space="preserve"> Grada Kaštela</w:t>
      </w:r>
      <w:r w:rsidR="00D87270">
        <w:t xml:space="preserve"> za razdoblje 202</w:t>
      </w:r>
      <w:r w:rsidR="005801A2">
        <w:t>3</w:t>
      </w:r>
      <w:r w:rsidR="00EA306A">
        <w:t>.</w:t>
      </w:r>
      <w:r w:rsidR="0082673F">
        <w:t xml:space="preserve"> </w:t>
      </w:r>
      <w:r w:rsidR="00EA306A">
        <w:t>-</w:t>
      </w:r>
      <w:r w:rsidR="0082673F">
        <w:t xml:space="preserve"> </w:t>
      </w:r>
      <w:r w:rsidR="00D87270">
        <w:t>202</w:t>
      </w:r>
      <w:r w:rsidR="005801A2">
        <w:t>5</w:t>
      </w:r>
      <w:r w:rsidR="00EA306A">
        <w:t>. godine</w:t>
      </w:r>
      <w:r w:rsidR="00525A95">
        <w:t xml:space="preserve"> (KLA</w:t>
      </w:r>
      <w:r w:rsidR="000A2E43">
        <w:t>SA: 400-02/22-01/0005; URBROJ: 2181-4-03/1-22</w:t>
      </w:r>
      <w:r w:rsidR="00D87902">
        <w:t>-1</w:t>
      </w:r>
      <w:r w:rsidR="000A2E43">
        <w:t>, od 15</w:t>
      </w:r>
      <w:r w:rsidR="00D87270">
        <w:t>. rujna 202</w:t>
      </w:r>
      <w:r w:rsidR="005801A2">
        <w:t>2.</w:t>
      </w:r>
      <w:r w:rsidR="00D87270">
        <w:t xml:space="preserve"> godine</w:t>
      </w:r>
      <w:r w:rsidR="00D87902">
        <w:t xml:space="preserve">) </w:t>
      </w:r>
      <w:r w:rsidR="00EA306A">
        <w:t>pristu</w:t>
      </w:r>
      <w:r w:rsidR="00195B36">
        <w:t>pilo se izradi ovog Prijedloga f</w:t>
      </w:r>
      <w:r w:rsidR="00EA306A">
        <w:t>inancijskog plana te obrazloženja koji iz njega proizlazi.</w:t>
      </w:r>
    </w:p>
    <w:p w14:paraId="4A97970F" w14:textId="77777777" w:rsidR="00EA306A" w:rsidRDefault="00EA306A">
      <w:pPr>
        <w:jc w:val="both"/>
      </w:pPr>
    </w:p>
    <w:p w14:paraId="348AFDBC" w14:textId="77777777" w:rsidR="00EA306A" w:rsidRDefault="00EA306A">
      <w:pPr>
        <w:jc w:val="both"/>
      </w:pPr>
      <w:r>
        <w:tab/>
      </w:r>
    </w:p>
    <w:p w14:paraId="5334D343" w14:textId="77777777" w:rsidR="00EA306A" w:rsidRDefault="00EA306A">
      <w:pPr>
        <w:jc w:val="both"/>
      </w:pPr>
    </w:p>
    <w:p w14:paraId="2C99937F" w14:textId="64E68328" w:rsidR="00EA306A" w:rsidRDefault="00EA306A">
      <w:pPr>
        <w:jc w:val="both"/>
      </w:pPr>
      <w:r>
        <w:tab/>
        <w:t xml:space="preserve">Prijedlog financijskog plana Javne ustanove </w:t>
      </w:r>
      <w:r w:rsidR="008260F2">
        <w:t>„</w:t>
      </w:r>
      <w:r>
        <w:t>Športski o</w:t>
      </w:r>
      <w:r w:rsidR="00933263">
        <w:t>bjekti Kaštela</w:t>
      </w:r>
      <w:r w:rsidR="008260F2">
        <w:t>“</w:t>
      </w:r>
      <w:r w:rsidR="00933263">
        <w:t xml:space="preserve"> za razdoblje 202</w:t>
      </w:r>
      <w:r w:rsidR="00E27E94">
        <w:t>3. –</w:t>
      </w:r>
      <w:r w:rsidR="00933263">
        <w:t xml:space="preserve"> 202</w:t>
      </w:r>
      <w:r w:rsidR="00E27E94">
        <w:t>5.</w:t>
      </w:r>
      <w:r>
        <w:t xml:space="preserve"> godine sastoji se od:</w:t>
      </w:r>
    </w:p>
    <w:p w14:paraId="1ABC4708" w14:textId="77777777" w:rsidR="00EA306A" w:rsidRDefault="00EA306A">
      <w:pPr>
        <w:jc w:val="both"/>
      </w:pPr>
    </w:p>
    <w:p w14:paraId="43FDB3DB" w14:textId="04BA935A" w:rsidR="00EA306A" w:rsidRDefault="00EA306A">
      <w:pPr>
        <w:numPr>
          <w:ilvl w:val="0"/>
          <w:numId w:val="5"/>
        </w:numPr>
        <w:jc w:val="both"/>
      </w:pPr>
      <w:r>
        <w:t>proc</w:t>
      </w:r>
      <w:r w:rsidR="00933263">
        <w:t>jene prihoda i primitaka za 202</w:t>
      </w:r>
      <w:r w:rsidR="00E27E94">
        <w:t>3</w:t>
      </w:r>
      <w:r>
        <w:t xml:space="preserve">. </w:t>
      </w:r>
      <w:r w:rsidR="00E27E94">
        <w:t>–</w:t>
      </w:r>
      <w:r w:rsidR="00933263">
        <w:t xml:space="preserve"> 202</w:t>
      </w:r>
      <w:r w:rsidR="00E27E94">
        <w:t xml:space="preserve">5. </w:t>
      </w:r>
      <w:r>
        <w:t>godinu,</w:t>
      </w:r>
    </w:p>
    <w:p w14:paraId="76E9AA01" w14:textId="21BB4618" w:rsidR="00EA306A" w:rsidRDefault="003E5BD7">
      <w:pPr>
        <w:numPr>
          <w:ilvl w:val="0"/>
          <w:numId w:val="5"/>
        </w:numPr>
        <w:jc w:val="both"/>
      </w:pPr>
      <w:r>
        <w:t>plana ra</w:t>
      </w:r>
      <w:r w:rsidR="00933263">
        <w:t>shoda i izdataka za 202</w:t>
      </w:r>
      <w:r w:rsidR="00E27E94">
        <w:t>3.</w:t>
      </w:r>
      <w:r w:rsidR="00933263">
        <w:t xml:space="preserve"> - 202</w:t>
      </w:r>
      <w:r w:rsidR="00E27E94">
        <w:t>5</w:t>
      </w:r>
      <w:r w:rsidR="00EA306A">
        <w:t>. godine,</w:t>
      </w:r>
    </w:p>
    <w:p w14:paraId="7D2BD335" w14:textId="77777777" w:rsidR="00EA306A" w:rsidRDefault="00EA306A">
      <w:pPr>
        <w:numPr>
          <w:ilvl w:val="0"/>
          <w:numId w:val="5"/>
        </w:numPr>
        <w:jc w:val="both"/>
      </w:pPr>
      <w:r>
        <w:t>obrazloženja prijedloga financijskog plana.</w:t>
      </w:r>
    </w:p>
    <w:p w14:paraId="1552995C" w14:textId="77777777" w:rsidR="00EA306A" w:rsidRDefault="00EA306A">
      <w:pPr>
        <w:jc w:val="both"/>
      </w:pPr>
    </w:p>
    <w:p w14:paraId="1CD210B4" w14:textId="77777777" w:rsidR="00EA306A" w:rsidRDefault="00EA306A">
      <w:pPr>
        <w:jc w:val="both"/>
      </w:pPr>
      <w:r>
        <w:tab/>
        <w:t>Prihodi su planirani na osnovu odobrenih sredstava Proračuna Grada Kaštela te procijenjenih vlastitih prihoda.</w:t>
      </w:r>
    </w:p>
    <w:p w14:paraId="41D7784C" w14:textId="77777777" w:rsidR="00EA306A" w:rsidRDefault="00EA306A">
      <w:pPr>
        <w:jc w:val="both"/>
      </w:pPr>
    </w:p>
    <w:p w14:paraId="022ECA37" w14:textId="77777777" w:rsidR="00EA306A" w:rsidRDefault="00EA306A">
      <w:pPr>
        <w:jc w:val="both"/>
      </w:pPr>
    </w:p>
    <w:p w14:paraId="581041D9" w14:textId="77777777" w:rsidR="00EA306A" w:rsidRDefault="00EA306A">
      <w:pPr>
        <w:jc w:val="both"/>
      </w:pPr>
    </w:p>
    <w:p w14:paraId="02BAFF93" w14:textId="2CD59121" w:rsidR="00EA306A" w:rsidRDefault="0067433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Izvori financiranja za 202</w:t>
      </w:r>
      <w:r w:rsidR="001A11C8">
        <w:rPr>
          <w:b/>
          <w:bCs/>
          <w:i/>
          <w:iCs/>
        </w:rPr>
        <w:t>3</w:t>
      </w:r>
      <w:r w:rsidR="00EA306A">
        <w:rPr>
          <w:b/>
          <w:bCs/>
          <w:i/>
          <w:iCs/>
        </w:rPr>
        <w:t>. godinu:</w:t>
      </w:r>
      <w:r w:rsidR="006239AC">
        <w:rPr>
          <w:b/>
          <w:bCs/>
          <w:i/>
          <w:iCs/>
        </w:rPr>
        <w:tab/>
      </w:r>
      <w:r w:rsidR="006239AC">
        <w:rPr>
          <w:b/>
          <w:bCs/>
          <w:i/>
          <w:iCs/>
        </w:rPr>
        <w:tab/>
      </w:r>
      <w:r w:rsidR="006239AC">
        <w:rPr>
          <w:b/>
          <w:bCs/>
          <w:i/>
          <w:iCs/>
        </w:rPr>
        <w:tab/>
      </w:r>
      <w:r w:rsidR="006239AC">
        <w:rPr>
          <w:b/>
          <w:bCs/>
          <w:i/>
          <w:iCs/>
        </w:rPr>
        <w:tab/>
      </w:r>
      <w:r w:rsidR="006239AC">
        <w:rPr>
          <w:b/>
          <w:bCs/>
          <w:i/>
          <w:iCs/>
        </w:rPr>
        <w:tab/>
      </w:r>
      <w:r w:rsidR="006239AC">
        <w:rPr>
          <w:b/>
          <w:bCs/>
          <w:i/>
          <w:iCs/>
        </w:rPr>
        <w:tab/>
      </w:r>
      <w:r w:rsidR="006239AC" w:rsidRPr="006239AC">
        <w:rPr>
          <w:bCs/>
          <w:i/>
          <w:iCs/>
        </w:rPr>
        <w:t>(EUR</w:t>
      </w:r>
      <w:r w:rsidR="000929E9" w:rsidRPr="000929E9">
        <w:rPr>
          <w:bCs/>
          <w:i/>
          <w:iCs/>
        </w:rPr>
        <w:t>)</w:t>
      </w: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5"/>
        <w:gridCol w:w="4549"/>
      </w:tblGrid>
      <w:tr w:rsidR="00EA306A" w14:paraId="6127E3F0" w14:textId="77777777">
        <w:tc>
          <w:tcPr>
            <w:tcW w:w="4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EB576F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Lokalni proračun </w:t>
            </w:r>
          </w:p>
        </w:tc>
        <w:tc>
          <w:tcPr>
            <w:tcW w:w="4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861D8A" w14:textId="78DACDAA" w:rsidR="00EA306A" w:rsidRDefault="00E81A00" w:rsidP="00F920EE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295.000,00</w:t>
            </w:r>
          </w:p>
        </w:tc>
      </w:tr>
      <w:tr w:rsidR="00EA306A" w14:paraId="744ACE99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605FDA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Vlastiti prihodi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4A1D17" w14:textId="1DDCA881" w:rsidR="00EA306A" w:rsidRDefault="00D62239" w:rsidP="00D62239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  <w:r w:rsidR="00C56F41">
              <w:rPr>
                <w:i/>
                <w:iCs/>
              </w:rPr>
              <w:t>.</w:t>
            </w:r>
            <w:r>
              <w:rPr>
                <w:i/>
                <w:iCs/>
              </w:rPr>
              <w:t>272</w:t>
            </w:r>
            <w:r w:rsidR="00C56F41">
              <w:rPr>
                <w:i/>
                <w:iCs/>
              </w:rPr>
              <w:t>,00</w:t>
            </w:r>
          </w:p>
        </w:tc>
      </w:tr>
      <w:tr w:rsidR="00EA306A" w14:paraId="0032A38E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4BC37" w14:textId="25E31CCD" w:rsidR="00EA306A" w:rsidRDefault="00C56F41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Ukupno sredstva za 2023</w:t>
            </w:r>
            <w:r w:rsidR="00EA306A"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1574E8" w14:textId="4E5FEF55" w:rsidR="00EA306A" w:rsidRDefault="00435D81" w:rsidP="00435D81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312.384,00</w:t>
            </w:r>
          </w:p>
        </w:tc>
      </w:tr>
      <w:tr w:rsidR="00EA306A" w14:paraId="30C079DD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B925B3" w14:textId="3B37D28D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Procj</w:t>
            </w:r>
            <w:r w:rsidR="001E1803">
              <w:rPr>
                <w:i/>
                <w:iCs/>
              </w:rPr>
              <w:t>ena prenesenih sredst</w:t>
            </w:r>
            <w:r w:rsidR="00C56F41">
              <w:rPr>
                <w:i/>
                <w:iCs/>
              </w:rPr>
              <w:t>ava iz 2022</w:t>
            </w:r>
            <w:r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E816D4" w14:textId="70210B1F" w:rsidR="00EA306A" w:rsidRDefault="00435D81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4.112,00</w:t>
            </w:r>
          </w:p>
        </w:tc>
      </w:tr>
    </w:tbl>
    <w:p w14:paraId="630FEBA0" w14:textId="77777777" w:rsidR="00EA306A" w:rsidRDefault="00EA306A">
      <w:pPr>
        <w:jc w:val="both"/>
      </w:pPr>
    </w:p>
    <w:p w14:paraId="74CF38E1" w14:textId="77777777" w:rsidR="00EA306A" w:rsidRDefault="00EA306A">
      <w:pPr>
        <w:jc w:val="both"/>
      </w:pPr>
    </w:p>
    <w:p w14:paraId="4CC6152F" w14:textId="6DD28593" w:rsidR="00EA306A" w:rsidRPr="000929E9" w:rsidRDefault="005D4DC4">
      <w:pPr>
        <w:jc w:val="both"/>
        <w:rPr>
          <w:bCs/>
          <w:i/>
          <w:iCs/>
        </w:rPr>
      </w:pPr>
      <w:r>
        <w:rPr>
          <w:b/>
          <w:bCs/>
          <w:i/>
          <w:iCs/>
        </w:rPr>
        <w:t>Izvori financiranja za 202</w:t>
      </w:r>
      <w:r w:rsidR="001A11C8">
        <w:rPr>
          <w:b/>
          <w:bCs/>
          <w:i/>
          <w:iCs/>
        </w:rPr>
        <w:t xml:space="preserve">4. </w:t>
      </w:r>
      <w:r w:rsidR="00EA306A">
        <w:rPr>
          <w:b/>
          <w:bCs/>
          <w:i/>
          <w:iCs/>
        </w:rPr>
        <w:t xml:space="preserve"> godinu:</w:t>
      </w:r>
      <w:r w:rsidR="00E75458">
        <w:rPr>
          <w:b/>
          <w:bCs/>
          <w:i/>
          <w:iCs/>
        </w:rPr>
        <w:tab/>
      </w:r>
      <w:r w:rsidR="00E75458">
        <w:rPr>
          <w:b/>
          <w:bCs/>
          <w:i/>
          <w:iCs/>
        </w:rPr>
        <w:tab/>
      </w:r>
      <w:r w:rsidR="00E75458">
        <w:rPr>
          <w:b/>
          <w:bCs/>
          <w:i/>
          <w:iCs/>
        </w:rPr>
        <w:tab/>
      </w:r>
      <w:r w:rsidR="00E75458">
        <w:rPr>
          <w:b/>
          <w:bCs/>
          <w:i/>
          <w:iCs/>
        </w:rPr>
        <w:tab/>
      </w:r>
      <w:r w:rsidR="00E75458">
        <w:rPr>
          <w:b/>
          <w:bCs/>
          <w:i/>
          <w:iCs/>
        </w:rPr>
        <w:tab/>
      </w:r>
      <w:r w:rsidR="00E75458">
        <w:rPr>
          <w:b/>
          <w:bCs/>
          <w:i/>
          <w:iCs/>
        </w:rPr>
        <w:tab/>
      </w:r>
      <w:r w:rsidR="00E75458" w:rsidRPr="00E75458">
        <w:rPr>
          <w:bCs/>
          <w:i/>
          <w:iCs/>
        </w:rPr>
        <w:t>(EUR</w:t>
      </w:r>
      <w:r w:rsidR="000929E9" w:rsidRPr="000929E9">
        <w:rPr>
          <w:bCs/>
          <w:i/>
          <w:iCs/>
        </w:rPr>
        <w:t>)</w:t>
      </w: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5"/>
        <w:gridCol w:w="4549"/>
      </w:tblGrid>
      <w:tr w:rsidR="00EA306A" w14:paraId="57472B64" w14:textId="77777777">
        <w:tc>
          <w:tcPr>
            <w:tcW w:w="4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27993E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Lokalni proračun </w:t>
            </w:r>
          </w:p>
        </w:tc>
        <w:tc>
          <w:tcPr>
            <w:tcW w:w="4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2ED251" w14:textId="37F17B6B" w:rsidR="00EA306A" w:rsidRDefault="00D62239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300.000,00</w:t>
            </w:r>
          </w:p>
        </w:tc>
      </w:tr>
      <w:tr w:rsidR="00EA306A" w14:paraId="5C66347F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587D7C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Vlastiti prihodi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D2D5F0" w14:textId="374488AB" w:rsidR="00EA306A" w:rsidRDefault="00D62239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14.596,00</w:t>
            </w:r>
          </w:p>
        </w:tc>
      </w:tr>
      <w:tr w:rsidR="00EA306A" w14:paraId="77DD046D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8E3F2" w14:textId="6CE0A0FC" w:rsidR="00EA306A" w:rsidRDefault="001E2559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Ukupno </w:t>
            </w:r>
            <w:r w:rsidR="00D62239">
              <w:rPr>
                <w:i/>
                <w:iCs/>
              </w:rPr>
              <w:t>sredstva za 2024</w:t>
            </w:r>
            <w:r w:rsidR="00EA306A"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4DA5C4" w14:textId="17EA4137" w:rsidR="00EA306A" w:rsidRDefault="00D62239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320.503,00</w:t>
            </w:r>
          </w:p>
        </w:tc>
      </w:tr>
      <w:tr w:rsidR="00EA306A" w14:paraId="2D38B845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FBA97" w14:textId="373DF79B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Procj</w:t>
            </w:r>
            <w:r w:rsidR="00D62239">
              <w:rPr>
                <w:i/>
                <w:iCs/>
              </w:rPr>
              <w:t>ena prenesenih sredstava iz 2023</w:t>
            </w:r>
            <w:r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A6207B" w14:textId="49BC9E63" w:rsidR="00EA306A" w:rsidRDefault="00D62239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5.907,00</w:t>
            </w:r>
          </w:p>
        </w:tc>
      </w:tr>
    </w:tbl>
    <w:p w14:paraId="740201A2" w14:textId="77777777" w:rsidR="00EA306A" w:rsidRDefault="00EA306A">
      <w:pPr>
        <w:jc w:val="both"/>
      </w:pPr>
    </w:p>
    <w:p w14:paraId="0C05AA80" w14:textId="77777777" w:rsidR="00EA306A" w:rsidRDefault="00EA306A">
      <w:pPr>
        <w:jc w:val="both"/>
      </w:pPr>
    </w:p>
    <w:p w14:paraId="506AB3B6" w14:textId="77777777" w:rsidR="00EA306A" w:rsidRDefault="00EA306A">
      <w:pPr>
        <w:jc w:val="both"/>
      </w:pPr>
    </w:p>
    <w:p w14:paraId="287D2456" w14:textId="289DD81D" w:rsidR="00EA306A" w:rsidRPr="000929E9" w:rsidRDefault="00C102AE">
      <w:pPr>
        <w:jc w:val="both"/>
        <w:rPr>
          <w:b/>
          <w:i/>
        </w:rPr>
      </w:pPr>
      <w:r>
        <w:rPr>
          <w:b/>
          <w:bCs/>
          <w:i/>
          <w:iCs/>
        </w:rPr>
        <w:t xml:space="preserve">Izvori financiranja za </w:t>
      </w:r>
      <w:r w:rsidR="005D4DC4">
        <w:rPr>
          <w:b/>
          <w:bCs/>
          <w:i/>
          <w:iCs/>
        </w:rPr>
        <w:t>202</w:t>
      </w:r>
      <w:r w:rsidR="001A11C8">
        <w:rPr>
          <w:b/>
          <w:bCs/>
          <w:i/>
          <w:iCs/>
        </w:rPr>
        <w:t>5</w:t>
      </w:r>
      <w:r w:rsidR="00EA306A">
        <w:rPr>
          <w:b/>
          <w:bCs/>
          <w:i/>
          <w:iCs/>
        </w:rPr>
        <w:t>. godinu:</w:t>
      </w:r>
      <w:r w:rsidR="00EA306A">
        <w:tab/>
      </w:r>
      <w:r w:rsidR="00E75458">
        <w:tab/>
      </w:r>
      <w:r w:rsidR="00E75458">
        <w:tab/>
      </w:r>
      <w:r w:rsidR="00E75458">
        <w:tab/>
      </w:r>
      <w:r w:rsidR="00E75458">
        <w:tab/>
      </w:r>
      <w:r w:rsidR="00E75458">
        <w:tab/>
        <w:t>(EUR</w:t>
      </w:r>
      <w:r w:rsidR="000929E9" w:rsidRPr="000929E9">
        <w:rPr>
          <w:i/>
        </w:rPr>
        <w:t>)</w:t>
      </w: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5"/>
        <w:gridCol w:w="4549"/>
      </w:tblGrid>
      <w:tr w:rsidR="00EA306A" w14:paraId="0B8E6F4B" w14:textId="77777777">
        <w:tc>
          <w:tcPr>
            <w:tcW w:w="4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E7BB33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Lokalni proračun </w:t>
            </w:r>
          </w:p>
        </w:tc>
        <w:tc>
          <w:tcPr>
            <w:tcW w:w="4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058A10" w14:textId="419A4D1F" w:rsidR="00EA306A" w:rsidRDefault="002F599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305.000,00</w:t>
            </w:r>
          </w:p>
        </w:tc>
      </w:tr>
      <w:tr w:rsidR="00EA306A" w14:paraId="7525A0D6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03DCD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Vlastiti prihodi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5FCC19" w14:textId="66EF6A04" w:rsidR="00EA306A" w:rsidRDefault="002F599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15.927,00</w:t>
            </w:r>
          </w:p>
        </w:tc>
      </w:tr>
      <w:tr w:rsidR="00EA306A" w14:paraId="4FE7ED9C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83611" w14:textId="2D69078D" w:rsidR="00EA306A" w:rsidRDefault="00307511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Ukupno sredstva za 2025</w:t>
            </w:r>
            <w:r w:rsidR="00EA306A"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5EFB9F" w14:textId="23B6D52D" w:rsidR="00EA306A" w:rsidRDefault="002F5998" w:rsidP="007971F5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327.554,00</w:t>
            </w:r>
          </w:p>
        </w:tc>
      </w:tr>
      <w:tr w:rsidR="00EA306A" w14:paraId="01A5F8A4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935443" w14:textId="685FB29E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Procj</w:t>
            </w:r>
            <w:r w:rsidR="001E2559">
              <w:rPr>
                <w:i/>
                <w:iCs/>
              </w:rPr>
              <w:t xml:space="preserve">ena prenesenih </w:t>
            </w:r>
            <w:r w:rsidR="00307511">
              <w:rPr>
                <w:i/>
                <w:iCs/>
              </w:rPr>
              <w:t>sredstava iz 2024</w:t>
            </w:r>
            <w:r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1458F8" w14:textId="46DEC2A8" w:rsidR="00EA306A" w:rsidRDefault="002F599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6.627,00</w:t>
            </w:r>
          </w:p>
        </w:tc>
      </w:tr>
    </w:tbl>
    <w:p w14:paraId="5740572F" w14:textId="77777777" w:rsidR="00AF03FC" w:rsidRDefault="00AF03FC">
      <w:pPr>
        <w:jc w:val="both"/>
      </w:pPr>
    </w:p>
    <w:p w14:paraId="5A5D9B56" w14:textId="4B3379D1" w:rsidR="006E77D7" w:rsidRDefault="00EA306A" w:rsidP="006E77D7">
      <w:pPr>
        <w:ind w:firstLine="708"/>
        <w:jc w:val="both"/>
      </w:pPr>
      <w:r>
        <w:lastRenderedPageBreak/>
        <w:t>Prihodi i primi</w:t>
      </w:r>
      <w:r w:rsidR="00D207FE">
        <w:t>t</w:t>
      </w:r>
      <w:r w:rsidR="00802A6D">
        <w:t>ci planirani su prema izvorima</w:t>
      </w:r>
      <w:r w:rsidR="00373413">
        <w:t xml:space="preserve"> nužnim u obavljanju</w:t>
      </w:r>
      <w:r w:rsidR="00FF473B">
        <w:t xml:space="preserve"> osnovne djelatnosti te se dijele na opće prihode i primitke</w:t>
      </w:r>
      <w:r w:rsidR="00214652">
        <w:t xml:space="preserve"> tj. prihode </w:t>
      </w:r>
      <w:r w:rsidR="003F0726">
        <w:t>koji</w:t>
      </w:r>
      <w:r w:rsidR="00087202">
        <w:t xml:space="preserve"> proizlaze</w:t>
      </w:r>
      <w:r w:rsidR="00214652">
        <w:t xml:space="preserve"> iz Proračuna Grada Kaštela</w:t>
      </w:r>
      <w:r w:rsidR="00FF473B">
        <w:t xml:space="preserve"> te vlastite prihode</w:t>
      </w:r>
      <w:r w:rsidR="00881A64">
        <w:t xml:space="preserve"> tj. prihode koje Javna ustanova „</w:t>
      </w:r>
      <w:r w:rsidR="00214652">
        <w:t>Športski objekti Kaštela</w:t>
      </w:r>
      <w:r w:rsidR="00881A64">
        <w:t>“</w:t>
      </w:r>
      <w:r w:rsidR="00214652">
        <w:t xml:space="preserve"> ostvaruju na temelju</w:t>
      </w:r>
      <w:r w:rsidR="007C7CC4" w:rsidRPr="007C7CC4">
        <w:t xml:space="preserve"> </w:t>
      </w:r>
      <w:r w:rsidR="007C7CC4">
        <w:t xml:space="preserve"> pružanja usluga korisnicima</w:t>
      </w:r>
      <w:r w:rsidR="004F288C">
        <w:t>, a koji se ne financiraju iz proraču</w:t>
      </w:r>
      <w:r w:rsidR="007C7CC4">
        <w:t>na.</w:t>
      </w:r>
      <w:r w:rsidR="008024A7">
        <w:t xml:space="preserve"> </w:t>
      </w:r>
    </w:p>
    <w:p w14:paraId="541D21CF" w14:textId="77777777" w:rsidR="001D72AA" w:rsidRDefault="001D72AA" w:rsidP="006E77D7">
      <w:pPr>
        <w:ind w:firstLine="708"/>
        <w:jc w:val="both"/>
      </w:pPr>
    </w:p>
    <w:p w14:paraId="7CA6EDCB" w14:textId="0529C331" w:rsidR="008024A7" w:rsidRDefault="008024A7" w:rsidP="006E77D7">
      <w:pPr>
        <w:ind w:firstLine="708"/>
        <w:jc w:val="both"/>
      </w:pPr>
      <w:r>
        <w:t>S obzirom na Upute za izradu Proračuna Grada Kaštela za razd</w:t>
      </w:r>
      <w:r w:rsidR="007B24DA">
        <w:t>oblje 202</w:t>
      </w:r>
      <w:r w:rsidR="008E7820">
        <w:t>3</w:t>
      </w:r>
      <w:r>
        <w:t xml:space="preserve">. </w:t>
      </w:r>
      <w:r w:rsidR="008E7820">
        <w:t>–</w:t>
      </w:r>
      <w:r>
        <w:t xml:space="preserve"> 202</w:t>
      </w:r>
      <w:r w:rsidR="008E7820">
        <w:t>5.</w:t>
      </w:r>
      <w:r w:rsidR="001E2559">
        <w:t xml:space="preserve"> godine, bilo je nužno pristupiti planiranju</w:t>
      </w:r>
      <w:r w:rsidR="00B372B8">
        <w:t xml:space="preserve"> prihoda nužnih za normalno funkcioniranje djelatnosti</w:t>
      </w:r>
      <w:r w:rsidR="00373413">
        <w:t>, a</w:t>
      </w:r>
      <w:r>
        <w:t xml:space="preserve"> prema </w:t>
      </w:r>
      <w:r w:rsidR="0033379E">
        <w:t>visini približno ostvarenih rashoda ostvarenih u 202</w:t>
      </w:r>
      <w:r w:rsidR="00A94463">
        <w:t>1.</w:t>
      </w:r>
      <w:r w:rsidR="0033379E">
        <w:t xml:space="preserve"> godini</w:t>
      </w:r>
      <w:r w:rsidR="00373413">
        <w:t>. S obzi</w:t>
      </w:r>
      <w:r w:rsidR="00655A00">
        <w:t xml:space="preserve">rom na </w:t>
      </w:r>
      <w:r w:rsidR="000A2E43">
        <w:t>inflaciju i rapidno povećanje cijena</w:t>
      </w:r>
      <w:r w:rsidR="00373413">
        <w:t xml:space="preserve"> za očekivati</w:t>
      </w:r>
      <w:r w:rsidR="00655A00">
        <w:t xml:space="preserve"> je</w:t>
      </w:r>
      <w:r w:rsidR="00373413">
        <w:t xml:space="preserve"> </w:t>
      </w:r>
      <w:r w:rsidR="00655A00">
        <w:t>manja</w:t>
      </w:r>
      <w:r w:rsidR="000A2E43">
        <w:t>k</w:t>
      </w:r>
      <w:r w:rsidR="00373413">
        <w:t xml:space="preserve"> </w:t>
      </w:r>
      <w:r w:rsidR="000A2E43">
        <w:t xml:space="preserve">sredstava </w:t>
      </w:r>
      <w:r w:rsidR="00373413">
        <w:t xml:space="preserve">stoga je bilo nužno </w:t>
      </w:r>
      <w:r w:rsidR="00A56974">
        <w:t>planirati prihode koji će se dobiti</w:t>
      </w:r>
      <w:r w:rsidR="00855135">
        <w:t xml:space="preserve"> od</w:t>
      </w:r>
      <w:r w:rsidR="00373413">
        <w:t xml:space="preserve"> Grada </w:t>
      </w:r>
      <w:r w:rsidR="00855135">
        <w:t>prema limitu 2</w:t>
      </w:r>
      <w:r w:rsidR="00573644">
        <w:t xml:space="preserve"> jer teško da će se objekti uspjeti održati i financirati prihodima iz vlastite djelatnosti.</w:t>
      </w:r>
      <w:r w:rsidR="00373413">
        <w:t xml:space="preserve"> </w:t>
      </w:r>
      <w:r w:rsidR="00971D4F">
        <w:t>Naravno, s obzirom na nove prilike</w:t>
      </w:r>
      <w:r w:rsidR="00801959">
        <w:t xml:space="preserve"> koje bi se mogle odvijati</w:t>
      </w:r>
      <w:r w:rsidR="00971D4F">
        <w:t xml:space="preserve"> </w:t>
      </w:r>
      <w:r w:rsidR="00420A99">
        <w:t>tijekom 202</w:t>
      </w:r>
      <w:r w:rsidR="00202227">
        <w:t>3</w:t>
      </w:r>
      <w:r w:rsidR="00801959">
        <w:t>. godine</w:t>
      </w:r>
      <w:r w:rsidR="00971D4F">
        <w:t xml:space="preserve"> tako će se i Financijski plan prilagođavati.</w:t>
      </w:r>
    </w:p>
    <w:p w14:paraId="2AFD7EA8" w14:textId="77777777" w:rsidR="006E77D7" w:rsidRDefault="008024A7" w:rsidP="006E77D7">
      <w:pPr>
        <w:ind w:firstLine="708"/>
        <w:jc w:val="both"/>
      </w:pPr>
      <w:r>
        <w:t xml:space="preserve"> </w:t>
      </w:r>
    </w:p>
    <w:p w14:paraId="59F0BAE3" w14:textId="77777777" w:rsidR="00EA306A" w:rsidRDefault="00FF473B" w:rsidP="006E77D7">
      <w:pPr>
        <w:ind w:firstLine="708"/>
        <w:jc w:val="both"/>
      </w:pPr>
      <w:r>
        <w:t xml:space="preserve"> </w:t>
      </w:r>
      <w:r w:rsidR="00EA306A">
        <w:t>Rashodi i izdatci poslovanja za obavljanje redovne djelatnosti Javne ust</w:t>
      </w:r>
      <w:r w:rsidR="00EE083C">
        <w:t>anove Športski objekti Kašt</w:t>
      </w:r>
      <w:r w:rsidR="00A50869">
        <w:t>ela planirani su</w:t>
      </w:r>
      <w:r w:rsidR="009017BB">
        <w:t xml:space="preserve"> u skladu sa prihodima i</w:t>
      </w:r>
      <w:r w:rsidR="00F75643">
        <w:t xml:space="preserve"> na temelju nužnoga.</w:t>
      </w:r>
    </w:p>
    <w:p w14:paraId="033E77BA" w14:textId="77777777" w:rsidR="00843481" w:rsidRDefault="00843481" w:rsidP="006E77D7">
      <w:pPr>
        <w:ind w:firstLine="708"/>
        <w:jc w:val="both"/>
      </w:pPr>
    </w:p>
    <w:p w14:paraId="0E83C535" w14:textId="5582E314" w:rsidR="00441F8B" w:rsidRDefault="00441F8B" w:rsidP="006E77D7">
      <w:pPr>
        <w:ind w:firstLine="708"/>
        <w:jc w:val="both"/>
      </w:pPr>
      <w:r>
        <w:t>U</w:t>
      </w:r>
      <w:r w:rsidR="00A877C8">
        <w:t xml:space="preserve"> dogovoru s</w:t>
      </w:r>
      <w:r w:rsidR="000A2E43">
        <w:t xml:space="preserve"> gradonačelnikom odobreni</w:t>
      </w:r>
      <w:r>
        <w:t xml:space="preserve"> </w:t>
      </w:r>
      <w:r w:rsidR="000A2E43">
        <w:t>su rashodi</w:t>
      </w:r>
      <w:r w:rsidR="00843481">
        <w:t xml:space="preserve"> u stavci usluge tekućeg i investicijskog održavanja građevinskih objekata zbog nužnosti </w:t>
      </w:r>
      <w:r w:rsidR="00613BF7">
        <w:t>obnove</w:t>
      </w:r>
      <w:r w:rsidR="00D95C87">
        <w:t xml:space="preserve"> unutrašnje</w:t>
      </w:r>
      <w:r w:rsidR="00DB7EC2">
        <w:t>g</w:t>
      </w:r>
      <w:r w:rsidR="00D95C87">
        <w:t xml:space="preserve"> prostora</w:t>
      </w:r>
      <w:r w:rsidR="00613BF7">
        <w:t xml:space="preserve"> igrališta</w:t>
      </w:r>
      <w:r w:rsidR="00D95C87">
        <w:t xml:space="preserve"> u Kaštel Sućurcu </w:t>
      </w:r>
      <w:r w:rsidR="00613BF7">
        <w:t>(</w:t>
      </w:r>
      <w:r w:rsidR="00202227">
        <w:t>rasvjeta, teretana</w:t>
      </w:r>
      <w:r w:rsidR="00613BF7">
        <w:t>…)</w:t>
      </w:r>
      <w:r w:rsidR="007F02D7">
        <w:t xml:space="preserve"> te sanacija svlačionice</w:t>
      </w:r>
      <w:r w:rsidR="00613BF7">
        <w:t xml:space="preserve"> </w:t>
      </w:r>
      <w:r w:rsidR="00DB7EC2">
        <w:t>na temelju kojeg su uvećani</w:t>
      </w:r>
      <w:r w:rsidR="00DE3E93">
        <w:t xml:space="preserve"> opći prihodi i primitc</w:t>
      </w:r>
      <w:r w:rsidR="00427B5F">
        <w:t>i Prora</w:t>
      </w:r>
      <w:r w:rsidR="00C1565D">
        <w:t>čuna tj. gradski prihodi.</w:t>
      </w:r>
      <w:r w:rsidR="00DB7EC2">
        <w:t xml:space="preserve"> </w:t>
      </w:r>
      <w:r>
        <w:t xml:space="preserve">  </w:t>
      </w:r>
    </w:p>
    <w:p w14:paraId="7031434B" w14:textId="77777777" w:rsidR="006E77D7" w:rsidRDefault="006E77D7" w:rsidP="006E77D7">
      <w:pPr>
        <w:ind w:firstLine="708"/>
        <w:jc w:val="both"/>
      </w:pPr>
    </w:p>
    <w:p w14:paraId="2CEF7834" w14:textId="69EFC04B" w:rsidR="006E77D7" w:rsidRDefault="006E77D7" w:rsidP="006E77D7">
      <w:pPr>
        <w:ind w:firstLine="708"/>
        <w:jc w:val="both"/>
      </w:pPr>
      <w:r>
        <w:t xml:space="preserve">Prioritetna aktivnost Javne ustanove </w:t>
      </w:r>
      <w:r w:rsidR="00E761FC">
        <w:t>Športski objekti Kaštela za 202</w:t>
      </w:r>
      <w:r w:rsidR="00202227">
        <w:t>3</w:t>
      </w:r>
      <w:r>
        <w:t>. godinu je, kao i prethodnih godina, promicanje športa kroz športsku djelatnost i aktivnosti.</w:t>
      </w:r>
    </w:p>
    <w:p w14:paraId="79E3225A" w14:textId="77777777" w:rsidR="006E77D7" w:rsidRDefault="006E77D7" w:rsidP="006E77D7">
      <w:pPr>
        <w:jc w:val="both"/>
      </w:pPr>
    </w:p>
    <w:p w14:paraId="19A9D121" w14:textId="77777777" w:rsidR="00EA306A" w:rsidRDefault="00EA306A">
      <w:pPr>
        <w:jc w:val="both"/>
      </w:pPr>
    </w:p>
    <w:p w14:paraId="22C8B156" w14:textId="77777777" w:rsidR="00EA306A" w:rsidRDefault="00EA306A">
      <w:pPr>
        <w:jc w:val="both"/>
      </w:pPr>
    </w:p>
    <w:p w14:paraId="0847FBA0" w14:textId="0A893DF0" w:rsidR="00EA306A" w:rsidRPr="008A16B2" w:rsidRDefault="00E761FC">
      <w:pPr>
        <w:jc w:val="both"/>
        <w:rPr>
          <w:bCs/>
          <w:i/>
          <w:iCs/>
        </w:rPr>
      </w:pPr>
      <w:r>
        <w:rPr>
          <w:b/>
          <w:bCs/>
          <w:i/>
          <w:iCs/>
        </w:rPr>
        <w:t>Rashodi poslovanja 202</w:t>
      </w:r>
      <w:r w:rsidR="00202227">
        <w:rPr>
          <w:b/>
          <w:bCs/>
          <w:i/>
          <w:iCs/>
        </w:rPr>
        <w:t xml:space="preserve">3  </w:t>
      </w:r>
      <w:r w:rsidR="00EA306A">
        <w:rPr>
          <w:b/>
          <w:bCs/>
          <w:i/>
          <w:iCs/>
        </w:rPr>
        <w:t>godine:</w:t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 w:rsidRPr="00D025E4">
        <w:rPr>
          <w:bCs/>
          <w:i/>
          <w:iCs/>
        </w:rPr>
        <w:t>(EUR</w:t>
      </w:r>
      <w:r w:rsidR="008A16B2">
        <w:rPr>
          <w:bCs/>
          <w:i/>
          <w:iCs/>
        </w:rPr>
        <w:t>)</w:t>
      </w: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5"/>
        <w:gridCol w:w="4549"/>
      </w:tblGrid>
      <w:tr w:rsidR="00EA306A" w14:paraId="163C5EE1" w14:textId="77777777">
        <w:tc>
          <w:tcPr>
            <w:tcW w:w="4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8CD243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Lokalni proračun: redovno poslovanje </w:t>
            </w:r>
          </w:p>
        </w:tc>
        <w:tc>
          <w:tcPr>
            <w:tcW w:w="4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6B2377" w14:textId="508CE397" w:rsidR="00EA306A" w:rsidRDefault="00C422A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293.672,00</w:t>
            </w:r>
          </w:p>
        </w:tc>
      </w:tr>
      <w:tr w:rsidR="00EA306A" w14:paraId="3151367D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109EA1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Lokalni proračun: nabava dugotrajne imovine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A24582" w14:textId="592E38EA" w:rsidR="00EA306A" w:rsidRDefault="00C422A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1.328,00</w:t>
            </w:r>
          </w:p>
        </w:tc>
      </w:tr>
      <w:tr w:rsidR="00EA306A" w14:paraId="2239912D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A41DF9" w14:textId="77777777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Vlastiti prihodi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1E94A7" w14:textId="358BFD9E" w:rsidR="00EA306A" w:rsidRDefault="00C422A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13.272,00</w:t>
            </w:r>
          </w:p>
        </w:tc>
      </w:tr>
      <w:tr w:rsidR="00EA306A" w14:paraId="66102DD3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834244" w14:textId="448C2AAC" w:rsidR="00EA306A" w:rsidRDefault="00C422A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Ukupno sredstva za 2023</w:t>
            </w:r>
            <w:r w:rsidR="00EA306A"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91F927" w14:textId="6FAF4200" w:rsidR="00EA306A" w:rsidRDefault="006C1117" w:rsidP="00876CE0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312.384,00</w:t>
            </w:r>
          </w:p>
        </w:tc>
      </w:tr>
      <w:tr w:rsidR="00EA306A" w14:paraId="5DBE1117" w14:textId="77777777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BADDA2" w14:textId="56C53DC3" w:rsidR="00EA306A" w:rsidRDefault="00EA306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Procj</w:t>
            </w:r>
            <w:r w:rsidR="004B0D96">
              <w:rPr>
                <w:i/>
                <w:iCs/>
              </w:rPr>
              <w:t xml:space="preserve">ena prenesenih </w:t>
            </w:r>
            <w:r w:rsidR="00C422A8">
              <w:rPr>
                <w:i/>
                <w:iCs/>
              </w:rPr>
              <w:t>sredstava iz 2022</w:t>
            </w:r>
            <w:r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D54B7F" w14:textId="2ECC3285" w:rsidR="00EA306A" w:rsidRDefault="006C1117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4.112,00</w:t>
            </w:r>
          </w:p>
        </w:tc>
      </w:tr>
    </w:tbl>
    <w:p w14:paraId="5FA283E8" w14:textId="77777777" w:rsidR="00EA306A" w:rsidRDefault="00EA306A">
      <w:pPr>
        <w:jc w:val="both"/>
      </w:pPr>
    </w:p>
    <w:p w14:paraId="78AB5257" w14:textId="77777777" w:rsidR="003F7D59" w:rsidRDefault="003F7D59">
      <w:pPr>
        <w:jc w:val="both"/>
      </w:pPr>
    </w:p>
    <w:p w14:paraId="5F82C57F" w14:textId="77777777" w:rsidR="00EE769D" w:rsidRDefault="00EE769D">
      <w:pPr>
        <w:jc w:val="both"/>
      </w:pPr>
    </w:p>
    <w:p w14:paraId="36DF7693" w14:textId="77777777" w:rsidR="00EE769D" w:rsidRDefault="00EE769D">
      <w:pPr>
        <w:jc w:val="both"/>
      </w:pPr>
    </w:p>
    <w:p w14:paraId="35D4AC49" w14:textId="77777777" w:rsidR="00EE769D" w:rsidRDefault="00EE769D">
      <w:pPr>
        <w:jc w:val="both"/>
      </w:pPr>
    </w:p>
    <w:p w14:paraId="3AE23FEA" w14:textId="28A1E0F7" w:rsidR="003F7D59" w:rsidRDefault="00486B0C" w:rsidP="003F7D59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Rashodi poslovanja 2</w:t>
      </w:r>
      <w:r w:rsidR="00E761FC">
        <w:rPr>
          <w:b/>
          <w:bCs/>
          <w:i/>
          <w:iCs/>
        </w:rPr>
        <w:t>02</w:t>
      </w:r>
      <w:r w:rsidR="00202227">
        <w:rPr>
          <w:b/>
          <w:bCs/>
          <w:i/>
          <w:iCs/>
        </w:rPr>
        <w:t>4</w:t>
      </w:r>
      <w:r w:rsidR="003F7D59">
        <w:rPr>
          <w:b/>
          <w:bCs/>
          <w:i/>
          <w:iCs/>
        </w:rPr>
        <w:t>. godine:</w:t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 w:rsidRPr="00D025E4">
        <w:rPr>
          <w:bCs/>
          <w:i/>
          <w:iCs/>
        </w:rPr>
        <w:t>(EUR</w:t>
      </w:r>
      <w:r w:rsidR="008A16B2" w:rsidRPr="00D025E4">
        <w:rPr>
          <w:bCs/>
          <w:i/>
          <w:iCs/>
        </w:rPr>
        <w:t>)</w:t>
      </w: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5"/>
        <w:gridCol w:w="4549"/>
      </w:tblGrid>
      <w:tr w:rsidR="003F7D59" w14:paraId="75C189F5" w14:textId="77777777" w:rsidTr="00383A8A">
        <w:tc>
          <w:tcPr>
            <w:tcW w:w="4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BAD438" w14:textId="77777777" w:rsidR="003F7D59" w:rsidRDefault="003F7D59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Lokalni proračun: redovno poslovanje </w:t>
            </w:r>
          </w:p>
        </w:tc>
        <w:tc>
          <w:tcPr>
            <w:tcW w:w="4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6C2482" w14:textId="3E443F4A" w:rsidR="003F7D59" w:rsidRDefault="00407556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298.500,00</w:t>
            </w:r>
          </w:p>
        </w:tc>
      </w:tr>
      <w:tr w:rsidR="003F7D59" w14:paraId="49ECF9D1" w14:textId="77777777" w:rsidTr="00383A8A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66A13" w14:textId="77777777" w:rsidR="003F7D59" w:rsidRDefault="003F7D59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Lokalni proračun: nabava dugotrajne imovine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B02E4C" w14:textId="38FBA475" w:rsidR="003F7D59" w:rsidRDefault="006C1117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1.500,00</w:t>
            </w:r>
          </w:p>
        </w:tc>
      </w:tr>
      <w:tr w:rsidR="004E0178" w14:paraId="0A1F7616" w14:textId="77777777" w:rsidTr="00383A8A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8A975" w14:textId="77777777" w:rsidR="004E0178" w:rsidRDefault="004E0178" w:rsidP="004E017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Vlastiti prihodi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C9C1DF" w14:textId="578B7455" w:rsidR="004E0178" w:rsidRDefault="006C1117" w:rsidP="004E017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14.596,00</w:t>
            </w:r>
          </w:p>
        </w:tc>
      </w:tr>
      <w:tr w:rsidR="004E0178" w14:paraId="66670BAE" w14:textId="77777777" w:rsidTr="00383A8A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1D6F2" w14:textId="1D6AC26D" w:rsidR="004E0178" w:rsidRDefault="006C1117" w:rsidP="004E017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Ukupno sredstva za 2024</w:t>
            </w:r>
            <w:r w:rsidR="004E0178"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A00185" w14:textId="15943981" w:rsidR="004E0178" w:rsidRDefault="006C1117" w:rsidP="00357F91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320.503</w:t>
            </w:r>
            <w:r w:rsidR="00B22F98">
              <w:rPr>
                <w:i/>
                <w:iCs/>
              </w:rPr>
              <w:t>,00</w:t>
            </w:r>
          </w:p>
        </w:tc>
      </w:tr>
      <w:tr w:rsidR="004E0178" w14:paraId="09D5B072" w14:textId="77777777" w:rsidTr="00383A8A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7ED2D" w14:textId="6E45C752" w:rsidR="004E0178" w:rsidRDefault="004E0178" w:rsidP="004E017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Procj</w:t>
            </w:r>
            <w:r w:rsidR="006C1117">
              <w:rPr>
                <w:i/>
                <w:iCs/>
              </w:rPr>
              <w:t>ena prenesenih sredstava iz 2023</w:t>
            </w:r>
            <w:r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929E74" w14:textId="20B55E00" w:rsidR="004E0178" w:rsidRDefault="006C1117" w:rsidP="004E0178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5.907,00</w:t>
            </w:r>
          </w:p>
        </w:tc>
      </w:tr>
    </w:tbl>
    <w:p w14:paraId="304EF4A3" w14:textId="77777777" w:rsidR="00EE769D" w:rsidRDefault="00EE769D" w:rsidP="003F7D59">
      <w:pPr>
        <w:jc w:val="both"/>
        <w:rPr>
          <w:b/>
          <w:bCs/>
          <w:i/>
          <w:iCs/>
        </w:rPr>
      </w:pPr>
    </w:p>
    <w:p w14:paraId="600BE7D5" w14:textId="77777777" w:rsidR="00EE769D" w:rsidRDefault="00EE769D" w:rsidP="003F7D59">
      <w:pPr>
        <w:jc w:val="both"/>
        <w:rPr>
          <w:b/>
          <w:bCs/>
          <w:i/>
          <w:iCs/>
        </w:rPr>
      </w:pPr>
    </w:p>
    <w:p w14:paraId="43C9AF52" w14:textId="77777777" w:rsidR="00FF42D1" w:rsidRDefault="00FF42D1" w:rsidP="003F7D59">
      <w:pPr>
        <w:jc w:val="both"/>
        <w:rPr>
          <w:b/>
          <w:bCs/>
          <w:i/>
          <w:iCs/>
        </w:rPr>
      </w:pPr>
    </w:p>
    <w:p w14:paraId="2B57A792" w14:textId="77777777" w:rsidR="00FF42D1" w:rsidRDefault="00FF42D1" w:rsidP="003F7D59">
      <w:pPr>
        <w:jc w:val="both"/>
        <w:rPr>
          <w:b/>
          <w:bCs/>
          <w:i/>
          <w:iCs/>
        </w:rPr>
      </w:pPr>
    </w:p>
    <w:p w14:paraId="5CC44A27" w14:textId="32977267" w:rsidR="003F7D59" w:rsidRPr="00B22F98" w:rsidRDefault="00345628" w:rsidP="003F7D59">
      <w:pPr>
        <w:jc w:val="both"/>
        <w:rPr>
          <w:bCs/>
          <w:i/>
          <w:iCs/>
        </w:rPr>
      </w:pPr>
      <w:r>
        <w:rPr>
          <w:b/>
          <w:bCs/>
          <w:i/>
          <w:iCs/>
        </w:rPr>
        <w:t>R</w:t>
      </w:r>
      <w:r w:rsidR="00E761FC">
        <w:rPr>
          <w:b/>
          <w:bCs/>
          <w:i/>
          <w:iCs/>
        </w:rPr>
        <w:t>ashodi poslovanja 202</w:t>
      </w:r>
      <w:r w:rsidR="00202227">
        <w:rPr>
          <w:b/>
          <w:bCs/>
          <w:i/>
          <w:iCs/>
        </w:rPr>
        <w:t>5</w:t>
      </w:r>
      <w:r w:rsidR="003F7D59">
        <w:rPr>
          <w:b/>
          <w:bCs/>
          <w:i/>
          <w:iCs/>
        </w:rPr>
        <w:t>. godine:</w:t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>
        <w:rPr>
          <w:b/>
          <w:bCs/>
          <w:i/>
          <w:iCs/>
        </w:rPr>
        <w:tab/>
      </w:r>
      <w:r w:rsidR="00D025E4" w:rsidRPr="00D025E4">
        <w:rPr>
          <w:bCs/>
          <w:i/>
          <w:iCs/>
        </w:rPr>
        <w:t>(EUR</w:t>
      </w:r>
      <w:r w:rsidR="00B22F98" w:rsidRPr="00D025E4">
        <w:rPr>
          <w:bCs/>
          <w:i/>
          <w:iCs/>
        </w:rPr>
        <w:t>)</w:t>
      </w: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5"/>
        <w:gridCol w:w="4549"/>
      </w:tblGrid>
      <w:tr w:rsidR="003F7D59" w14:paraId="55C2160C" w14:textId="77777777" w:rsidTr="00383A8A">
        <w:tc>
          <w:tcPr>
            <w:tcW w:w="4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DAA42" w14:textId="77777777" w:rsidR="003F7D59" w:rsidRDefault="003F7D59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Lokalni proračun: redovno poslovanje </w:t>
            </w:r>
          </w:p>
        </w:tc>
        <w:tc>
          <w:tcPr>
            <w:tcW w:w="4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599BFD" w14:textId="49875B60" w:rsidR="003F7D59" w:rsidRDefault="00407556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303.350,00</w:t>
            </w:r>
          </w:p>
        </w:tc>
      </w:tr>
      <w:tr w:rsidR="003F7D59" w14:paraId="26FB6246" w14:textId="77777777" w:rsidTr="00383A8A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D49BBC" w14:textId="77777777" w:rsidR="003F7D59" w:rsidRDefault="003F7D59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Lokalni proračun: nabava dugotrajne imovine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6738D1" w14:textId="7FE66D9A" w:rsidR="003F7D59" w:rsidRDefault="002B3AF5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1.650,00</w:t>
            </w:r>
          </w:p>
        </w:tc>
      </w:tr>
      <w:tr w:rsidR="003F7D59" w14:paraId="2053E3CB" w14:textId="77777777" w:rsidTr="00383A8A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F5E1B0" w14:textId="77777777" w:rsidR="003F7D59" w:rsidRDefault="003F7D59" w:rsidP="00383A8A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Vlastiti prihodi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DFD0A4" w14:textId="2D095951" w:rsidR="003F7D59" w:rsidRDefault="002B3AF5" w:rsidP="005119B6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15.927,00</w:t>
            </w:r>
          </w:p>
        </w:tc>
      </w:tr>
      <w:tr w:rsidR="00291ED1" w14:paraId="110AA159" w14:textId="77777777" w:rsidTr="00383A8A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6AFC6" w14:textId="642630B6" w:rsidR="00291ED1" w:rsidRDefault="001D51BA" w:rsidP="00291ED1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Ukupno sredstva </w:t>
            </w:r>
            <w:r w:rsidR="002B3AF5">
              <w:rPr>
                <w:i/>
                <w:iCs/>
              </w:rPr>
              <w:t>za 2025</w:t>
            </w:r>
            <w:r w:rsidR="00291ED1"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A20E48" w14:textId="52717020" w:rsidR="00291ED1" w:rsidRDefault="002B3AF5" w:rsidP="00D5598C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327.554,00</w:t>
            </w:r>
          </w:p>
        </w:tc>
      </w:tr>
      <w:tr w:rsidR="00291ED1" w14:paraId="10CC02E0" w14:textId="77777777" w:rsidTr="00383A8A"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DC87DB" w14:textId="15E940B5" w:rsidR="00291ED1" w:rsidRDefault="00291ED1" w:rsidP="00291ED1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Procj</w:t>
            </w:r>
            <w:r w:rsidR="002B3AF5">
              <w:rPr>
                <w:i/>
                <w:iCs/>
              </w:rPr>
              <w:t>ena prenesenih sredstava iz 2024</w:t>
            </w:r>
            <w:r>
              <w:rPr>
                <w:i/>
                <w:iCs/>
              </w:rPr>
              <w:t>.</w:t>
            </w:r>
          </w:p>
        </w:tc>
        <w:tc>
          <w:tcPr>
            <w:tcW w:w="45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54C310" w14:textId="1A5EE10D" w:rsidR="00291ED1" w:rsidRDefault="002B3AF5" w:rsidP="00291ED1">
            <w:pPr>
              <w:pStyle w:val="Sadrajitablice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6.627,00</w:t>
            </w:r>
          </w:p>
        </w:tc>
      </w:tr>
    </w:tbl>
    <w:p w14:paraId="7D96F87A" w14:textId="77777777" w:rsidR="003F7D59" w:rsidRDefault="003F7D59">
      <w:pPr>
        <w:jc w:val="both"/>
      </w:pPr>
    </w:p>
    <w:p w14:paraId="23C76DDD" w14:textId="77777777" w:rsidR="00EA306A" w:rsidRDefault="00EA306A" w:rsidP="004B0D96">
      <w:pPr>
        <w:jc w:val="both"/>
      </w:pPr>
      <w:r>
        <w:tab/>
        <w:t>Rashodi za zaposlene i materijalni rashod</w:t>
      </w:r>
      <w:r w:rsidR="00C7284C">
        <w:t xml:space="preserve">i planirani su u </w:t>
      </w:r>
      <w:r w:rsidR="002F15EF">
        <w:t>istom</w:t>
      </w:r>
      <w:r w:rsidR="008A01FA">
        <w:t xml:space="preserve"> opsegu</w:t>
      </w:r>
      <w:r w:rsidR="00BF4C48">
        <w:t xml:space="preserve"> kao i</w:t>
      </w:r>
      <w:r>
        <w:t xml:space="preserve"> prethod</w:t>
      </w:r>
      <w:r w:rsidR="00BF4C48">
        <w:t>ne godine</w:t>
      </w:r>
      <w:r w:rsidR="00B3566A">
        <w:t>. Na taj način su zadovoljene osnovne i nužne potrebe</w:t>
      </w:r>
      <w:r w:rsidR="00C453AF">
        <w:t xml:space="preserve"> dovoljne za jednogodišnje razdoblje. Na isti način su planirani i prihodi za sljedeće dvije godine te u slučaju nužnosti promjene istih, sljedeće godine će se navesti </w:t>
      </w:r>
      <w:r w:rsidR="00720636">
        <w:t>razlozi promjene</w:t>
      </w:r>
      <w:r w:rsidR="00404A91">
        <w:t>.</w:t>
      </w:r>
      <w:r w:rsidR="00B3566A">
        <w:t xml:space="preserve"> </w:t>
      </w:r>
    </w:p>
    <w:p w14:paraId="34CE6F68" w14:textId="77777777" w:rsidR="00EA306A" w:rsidRDefault="00EA306A">
      <w:pPr>
        <w:jc w:val="both"/>
      </w:pPr>
      <w:r>
        <w:tab/>
      </w:r>
    </w:p>
    <w:p w14:paraId="6E94C47E" w14:textId="005873D3" w:rsidR="00EA306A" w:rsidRDefault="00FD728B">
      <w:pPr>
        <w:jc w:val="both"/>
      </w:pPr>
      <w:r>
        <w:tab/>
        <w:t xml:space="preserve">Rashodi </w:t>
      </w:r>
      <w:r w:rsidR="005834AB">
        <w:t>202</w:t>
      </w:r>
      <w:r w:rsidR="00D07042">
        <w:t>3</w:t>
      </w:r>
      <w:r w:rsidR="005834AB">
        <w:t xml:space="preserve">. godine </w:t>
      </w:r>
      <w:r>
        <w:t>nastali u obavljanju redovne djelatnosti kao i rashodi uređenja i opremanja objekata planiraju se</w:t>
      </w:r>
      <w:r w:rsidR="00EA306A">
        <w:t xml:space="preserve"> osigurati jednim dijelo</w:t>
      </w:r>
      <w:r w:rsidR="00585A89">
        <w:t xml:space="preserve">m </w:t>
      </w:r>
      <w:r w:rsidR="006E71BC">
        <w:t>iz proračunskih sr</w:t>
      </w:r>
      <w:r w:rsidR="001E1667">
        <w:t>edstava (295.000,00 EUR</w:t>
      </w:r>
      <w:r w:rsidR="00EA306A">
        <w:t>) i osta</w:t>
      </w:r>
      <w:r w:rsidR="00275619">
        <w:t>tkom iz vlastiti</w:t>
      </w:r>
      <w:r w:rsidR="001E1667">
        <w:t>h prihoda (13</w:t>
      </w:r>
      <w:r w:rsidR="00030D61">
        <w:t>.</w:t>
      </w:r>
      <w:r w:rsidR="001E1667">
        <w:t>272</w:t>
      </w:r>
      <w:r w:rsidR="0045482F">
        <w:t xml:space="preserve">,00 </w:t>
      </w:r>
      <w:r w:rsidR="001E1667">
        <w:t>EUR</w:t>
      </w:r>
      <w:r w:rsidR="0045482F">
        <w:t xml:space="preserve">) te se planira </w:t>
      </w:r>
      <w:r w:rsidR="009D5ACD">
        <w:t xml:space="preserve">eventualni višak prihoda </w:t>
      </w:r>
      <w:r w:rsidR="00E761FC">
        <w:t>iz 202</w:t>
      </w:r>
      <w:r w:rsidR="00CB60AB">
        <w:t>2.</w:t>
      </w:r>
      <w:r w:rsidR="00D24019">
        <w:t xml:space="preserve"> godine u</w:t>
      </w:r>
      <w:r w:rsidR="003246D2">
        <w:t xml:space="preserve"> iznosu od </w:t>
      </w:r>
      <w:r w:rsidR="001E1667">
        <w:t>4</w:t>
      </w:r>
      <w:r w:rsidR="00E70412">
        <w:t>.</w:t>
      </w:r>
      <w:r w:rsidR="001E1667">
        <w:t>112</w:t>
      </w:r>
      <w:r w:rsidR="00953175">
        <w:t>,00</w:t>
      </w:r>
      <w:r w:rsidR="0085573C">
        <w:t xml:space="preserve"> </w:t>
      </w:r>
      <w:r w:rsidR="001E1667">
        <w:t>EUR</w:t>
      </w:r>
      <w:r w:rsidR="0085573C">
        <w:t>.</w:t>
      </w:r>
    </w:p>
    <w:p w14:paraId="5C42FC33" w14:textId="77777777" w:rsidR="00EA306A" w:rsidRDefault="00EA306A">
      <w:pPr>
        <w:jc w:val="both"/>
      </w:pPr>
    </w:p>
    <w:p w14:paraId="10D2160F" w14:textId="77777777" w:rsidR="00EA306A" w:rsidRDefault="00EA306A">
      <w:pPr>
        <w:jc w:val="both"/>
      </w:pPr>
      <w:r>
        <w:tab/>
        <w:t xml:space="preserve">Slijedom navedenog, sredstvima iz Proračuna Grada namijenjenim za materijalne rashode podmirit će se dijelom troškovi za materijal i energiju, rashodi za usluge, </w:t>
      </w:r>
      <w:r w:rsidR="006A4867">
        <w:t>naknade za rad Upravnog vijeća te</w:t>
      </w:r>
      <w:r>
        <w:t xml:space="preserve"> naknade za prijevoz na posao i s posla.</w:t>
      </w:r>
    </w:p>
    <w:p w14:paraId="66A4F5A5" w14:textId="77777777" w:rsidR="00D84A09" w:rsidRDefault="00D84A09">
      <w:pPr>
        <w:jc w:val="both"/>
      </w:pPr>
    </w:p>
    <w:p w14:paraId="61709D9F" w14:textId="3F535574" w:rsidR="00EA306A" w:rsidRDefault="00D84A09">
      <w:pPr>
        <w:jc w:val="both"/>
      </w:pPr>
      <w:r>
        <w:tab/>
      </w:r>
      <w:r w:rsidR="00EA306A">
        <w:t xml:space="preserve">Materijalni rashodi redovne djelatnosti Javne ustanove </w:t>
      </w:r>
      <w:r w:rsidR="002D78BD">
        <w:t>„</w:t>
      </w:r>
      <w:r w:rsidR="00EA306A">
        <w:t>Športski objekti Kaštela</w:t>
      </w:r>
      <w:r w:rsidR="002D78BD">
        <w:t>“</w:t>
      </w:r>
      <w:r w:rsidR="00EA306A">
        <w:t xml:space="preserve"> planirani su u skla</w:t>
      </w:r>
      <w:r w:rsidR="00AD7D43">
        <w:t>du s ostvarenim rashodim</w:t>
      </w:r>
      <w:r w:rsidR="00E761FC">
        <w:t>a u 202</w:t>
      </w:r>
      <w:r w:rsidR="00D07042">
        <w:t>2</w:t>
      </w:r>
      <w:r w:rsidR="00EA306A">
        <w:t xml:space="preserve">. godini </w:t>
      </w:r>
      <w:r w:rsidR="00E761FC">
        <w:t>te rebalansu 202</w:t>
      </w:r>
      <w:r w:rsidR="00D07042">
        <w:t>2</w:t>
      </w:r>
      <w:r w:rsidR="005167BF">
        <w:t>.</w:t>
      </w:r>
      <w:r w:rsidR="0035193A">
        <w:t xml:space="preserve"> godine </w:t>
      </w:r>
      <w:r w:rsidR="008651D0">
        <w:t>uz određeno</w:t>
      </w:r>
      <w:r w:rsidR="00EA306A">
        <w:t xml:space="preserve"> odstupanje u stavkama za koje se pretpostavlja da bi mogle biti smanjene tj. povećane.</w:t>
      </w:r>
    </w:p>
    <w:p w14:paraId="385BBF12" w14:textId="77777777" w:rsidR="005B3128" w:rsidRDefault="005B3128">
      <w:pPr>
        <w:jc w:val="both"/>
      </w:pPr>
    </w:p>
    <w:p w14:paraId="32BDD501" w14:textId="27E40A56" w:rsidR="00A13385" w:rsidRDefault="005B3128">
      <w:pPr>
        <w:jc w:val="both"/>
      </w:pPr>
      <w:r>
        <w:tab/>
      </w:r>
      <w:r w:rsidR="007241BB">
        <w:t>Budući</w:t>
      </w:r>
      <w:r w:rsidR="00EA02AC">
        <w:t xml:space="preserve"> </w:t>
      </w:r>
      <w:r w:rsidR="00E761FC">
        <w:t>202</w:t>
      </w:r>
      <w:r w:rsidR="00930D30">
        <w:t>2</w:t>
      </w:r>
      <w:r w:rsidR="00BF57BF">
        <w:t>. godine p</w:t>
      </w:r>
      <w:r w:rsidR="009D2BF5">
        <w:t>lanira</w:t>
      </w:r>
      <w:r w:rsidR="00EA02AC">
        <w:t>na</w:t>
      </w:r>
      <w:r w:rsidR="00BF57BF">
        <w:t xml:space="preserve"> rekonstrukcija krovišta</w:t>
      </w:r>
      <w:r w:rsidR="00BB4693">
        <w:t xml:space="preserve"> nije realizirana</w:t>
      </w:r>
      <w:r w:rsidR="00AD5205">
        <w:t xml:space="preserve"> u </w:t>
      </w:r>
      <w:r w:rsidR="009D2BF5">
        <w:t xml:space="preserve">dvorani u Kaštel Starome </w:t>
      </w:r>
      <w:r w:rsidR="00090429">
        <w:t>(</w:t>
      </w:r>
      <w:r w:rsidR="009D2BF5">
        <w:t>koja je dotrajala</w:t>
      </w:r>
      <w:r w:rsidR="00090429">
        <w:t>)</w:t>
      </w:r>
      <w:r w:rsidR="009518F4">
        <w:t>,</w:t>
      </w:r>
      <w:r w:rsidR="009D2BF5">
        <w:t xml:space="preserve"> </w:t>
      </w:r>
      <w:r w:rsidR="00A92C64">
        <w:t xml:space="preserve">a </w:t>
      </w:r>
      <w:r w:rsidR="00375A36">
        <w:t xml:space="preserve">u skladu </w:t>
      </w:r>
      <w:r w:rsidR="000315B7">
        <w:t>s</w:t>
      </w:r>
      <w:r w:rsidR="00CC2B35">
        <w:t xml:space="preserve"> dogovorom</w:t>
      </w:r>
      <w:r w:rsidR="000315B7">
        <w:t xml:space="preserve"> s</w:t>
      </w:r>
      <w:r w:rsidR="006A7200">
        <w:t xml:space="preserve"> nadležnima iz G</w:t>
      </w:r>
      <w:r w:rsidR="007C1BE5">
        <w:t>rada Kaštela te je potrebno</w:t>
      </w:r>
      <w:r w:rsidR="006A7200">
        <w:t xml:space="preserve"> trošak istoga </w:t>
      </w:r>
      <w:r w:rsidR="009F67AA">
        <w:t xml:space="preserve">planirati u proračunu Grada na stavci održavanja objekata u vlasništvu </w:t>
      </w:r>
      <w:r w:rsidR="00A67C8D">
        <w:t>Grada Kaštela.</w:t>
      </w:r>
      <w:r w:rsidR="00704ABD">
        <w:t xml:space="preserve"> </w:t>
      </w:r>
    </w:p>
    <w:p w14:paraId="37A15B6F" w14:textId="7E766A70" w:rsidR="009D2BF5" w:rsidRDefault="00704ABD" w:rsidP="002408D4">
      <w:pPr>
        <w:ind w:firstLine="708"/>
        <w:jc w:val="both"/>
      </w:pPr>
      <w:r>
        <w:t xml:space="preserve">Iznos planiranih sredstava za sanaciju krovišta predviđa se </w:t>
      </w:r>
      <w:r w:rsidR="00A13047">
        <w:t>cca 106.178</w:t>
      </w:r>
      <w:r w:rsidR="00511156">
        <w:t xml:space="preserve">,00 </w:t>
      </w:r>
      <w:r w:rsidR="00A13047">
        <w:t>EUR</w:t>
      </w:r>
      <w:r w:rsidR="00C318EA">
        <w:t>,</w:t>
      </w:r>
      <w:r w:rsidR="00511156">
        <w:t xml:space="preserve"> ali i</w:t>
      </w:r>
      <w:r w:rsidR="00C318EA">
        <w:t>sta će se utvrditi nakon izrade</w:t>
      </w:r>
      <w:r w:rsidR="00511156">
        <w:t xml:space="preserve"> projekta </w:t>
      </w:r>
      <w:r w:rsidR="00C318EA">
        <w:t>koji</w:t>
      </w:r>
      <w:r w:rsidR="00AB4C72">
        <w:t xml:space="preserve"> će definirati troškove te se rekonstrukcija planira 202</w:t>
      </w:r>
      <w:r w:rsidR="00930D30">
        <w:t>4</w:t>
      </w:r>
      <w:r w:rsidR="00AB4C72">
        <w:t>. godine čime su i troškovi</w:t>
      </w:r>
      <w:r w:rsidR="00D77122">
        <w:t xml:space="preserve"> iste</w:t>
      </w:r>
      <w:r w:rsidR="00AB4C72">
        <w:t xml:space="preserve"> uvećani.</w:t>
      </w:r>
    </w:p>
    <w:p w14:paraId="443D8385" w14:textId="77777777" w:rsidR="00922C61" w:rsidRDefault="00922C61">
      <w:pPr>
        <w:jc w:val="both"/>
      </w:pPr>
    </w:p>
    <w:p w14:paraId="06EB6920" w14:textId="06EECFBD" w:rsidR="00811C9F" w:rsidRDefault="001F1BD7">
      <w:pPr>
        <w:jc w:val="both"/>
      </w:pPr>
      <w:r>
        <w:tab/>
        <w:t>Projekcije</w:t>
      </w:r>
      <w:r w:rsidR="00811C9F">
        <w:t xml:space="preserve"> 20</w:t>
      </w:r>
      <w:r w:rsidR="00E761FC">
        <w:t>2</w:t>
      </w:r>
      <w:r w:rsidR="00AB7AC9">
        <w:t>4</w:t>
      </w:r>
      <w:r w:rsidR="00922C61">
        <w:t>.</w:t>
      </w:r>
      <w:r>
        <w:t xml:space="preserve"> i 2025. godine</w:t>
      </w:r>
      <w:r w:rsidR="00922C61">
        <w:t xml:space="preserve"> </w:t>
      </w:r>
      <w:r w:rsidR="004E7F13">
        <w:t>planirane su u predloženim limitima te nema većeg odstupanja u odnosu na 2023. godinu.</w:t>
      </w:r>
      <w:r w:rsidR="00922C61">
        <w:t xml:space="preserve"> </w:t>
      </w:r>
    </w:p>
    <w:p w14:paraId="102CA202" w14:textId="77777777" w:rsidR="00EA306A" w:rsidRDefault="00B5079C">
      <w:pPr>
        <w:jc w:val="both"/>
      </w:pPr>
      <w:r>
        <w:t xml:space="preserve"> </w:t>
      </w:r>
      <w:r w:rsidR="009D2BF5">
        <w:t xml:space="preserve"> </w:t>
      </w:r>
    </w:p>
    <w:p w14:paraId="1B4FCEBE" w14:textId="64E9F289" w:rsidR="00EA306A" w:rsidRDefault="00EA306A">
      <w:pPr>
        <w:jc w:val="both"/>
      </w:pPr>
      <w:r>
        <w:tab/>
        <w:t xml:space="preserve"> Prema tome, cjelokupni prijedlog Financijskog plana Javne ustanove </w:t>
      </w:r>
      <w:r w:rsidR="00D160C5">
        <w:t>„</w:t>
      </w:r>
      <w:r>
        <w:t>Športski objekti Kaštela</w:t>
      </w:r>
      <w:r w:rsidR="00D160C5">
        <w:t>“</w:t>
      </w:r>
      <w:r>
        <w:t xml:space="preserve"> </w:t>
      </w:r>
      <w:r w:rsidR="00B9707A">
        <w:t>za 202</w:t>
      </w:r>
      <w:r w:rsidR="004F0ECA">
        <w:t>3.</w:t>
      </w:r>
      <w:r w:rsidR="004B0664">
        <w:t xml:space="preserve"> godinu </w:t>
      </w:r>
      <w:r>
        <w:t xml:space="preserve">temelje se na redovnoj djelatnosti upravljanja objektima iz koje proizlaze troškovi za plaće, materijalni troškovi, troškovi redovnog održavanja te nabava manjeg omjera </w:t>
      </w:r>
      <w:r w:rsidR="00827708">
        <w:t>dugotrajne imovine.</w:t>
      </w:r>
    </w:p>
    <w:p w14:paraId="5FBB0259" w14:textId="77777777" w:rsidR="00EA306A" w:rsidRDefault="00EA306A">
      <w:pPr>
        <w:jc w:val="both"/>
      </w:pPr>
    </w:p>
    <w:p w14:paraId="7E0A557F" w14:textId="77777777" w:rsidR="00D160C5" w:rsidRDefault="00EA306A">
      <w:pPr>
        <w:jc w:val="both"/>
      </w:pPr>
      <w:r>
        <w:tab/>
      </w:r>
    </w:p>
    <w:p w14:paraId="376EB014" w14:textId="77777777" w:rsidR="00D160C5" w:rsidRDefault="00D160C5">
      <w:pPr>
        <w:jc w:val="both"/>
      </w:pPr>
    </w:p>
    <w:p w14:paraId="2455FA6F" w14:textId="784461B3" w:rsidR="00EA306A" w:rsidRDefault="00EA306A" w:rsidP="00D160C5">
      <w:pPr>
        <w:ind w:firstLine="708"/>
        <w:jc w:val="both"/>
      </w:pPr>
      <w:r>
        <w:lastRenderedPageBreak/>
        <w:t xml:space="preserve">Prijedlog Financijskog plana Javne ustanove </w:t>
      </w:r>
      <w:r w:rsidR="000B778F">
        <w:t>„</w:t>
      </w:r>
      <w:r>
        <w:t>Športski objekti Kaštela</w:t>
      </w:r>
      <w:r w:rsidR="000B778F">
        <w:t>“</w:t>
      </w:r>
      <w:r>
        <w:t xml:space="preserve"> je uravnotežen, tj. ukupno planirani rashodi odgovar</w:t>
      </w:r>
      <w:r w:rsidR="00C83C17">
        <w:t xml:space="preserve">aju ukupno planiranim prihodima </w:t>
      </w:r>
      <w:r w:rsidR="0035615C">
        <w:t xml:space="preserve">kao i uključenim viškovima </w:t>
      </w:r>
      <w:r w:rsidR="00425823">
        <w:t>uz procjenu</w:t>
      </w:r>
      <w:r w:rsidR="001518EB">
        <w:t xml:space="preserve"> razlike prihoda i primitaka i rashoda i izdataka za tekuće tromjesečno razdoblje. </w:t>
      </w:r>
    </w:p>
    <w:p w14:paraId="11752F98" w14:textId="77777777" w:rsidR="00EA306A" w:rsidRDefault="00EA306A">
      <w:pPr>
        <w:jc w:val="both"/>
      </w:pPr>
    </w:p>
    <w:p w14:paraId="57AFA7B2" w14:textId="6070C2A0" w:rsidR="002F1653" w:rsidRPr="002F1653" w:rsidRDefault="00EA306A" w:rsidP="002F1653">
      <w:pPr>
        <w:jc w:val="both"/>
      </w:pPr>
      <w:r>
        <w:tab/>
        <w:t xml:space="preserve">Financijskim planom predviđeni prihodi i rashodi poslovanja u nastupajućem financijskom razdoblju polaze od pretpostavke da će Javna ustanova </w:t>
      </w:r>
      <w:r w:rsidR="00A41712">
        <w:t>„</w:t>
      </w:r>
      <w:r>
        <w:t>Športski objekti Kaštela</w:t>
      </w:r>
      <w:r w:rsidR="00A41712">
        <w:t>“</w:t>
      </w:r>
      <w:r>
        <w:t xml:space="preserve"> ostvarivati svoje vlastite prihode </w:t>
      </w:r>
      <w:r w:rsidR="00A41712">
        <w:t>shodno nastalim</w:t>
      </w:r>
      <w:r w:rsidR="00994493">
        <w:t xml:space="preserve"> </w:t>
      </w:r>
      <w:r w:rsidR="00B514F1">
        <w:t xml:space="preserve">situacijama </w:t>
      </w:r>
      <w:r w:rsidR="00F11328">
        <w:t>kao i da će</w:t>
      </w:r>
      <w:r>
        <w:t xml:space="preserve"> imati potporu prvenstveno na lokalnoj razini uvažavajući poteškoće u financiranju.</w:t>
      </w:r>
    </w:p>
    <w:p w14:paraId="08C12A77" w14:textId="77777777" w:rsidR="00BD4B53" w:rsidRDefault="00BD4B53" w:rsidP="00FD08AA">
      <w:pPr>
        <w:ind w:firstLine="708"/>
        <w:rPr>
          <w:b/>
          <w:i/>
          <w:sz w:val="28"/>
          <w:szCs w:val="28"/>
        </w:rPr>
      </w:pPr>
    </w:p>
    <w:p w14:paraId="7586BFB0" w14:textId="77777777" w:rsidR="00BD4B53" w:rsidRDefault="00BD4B53" w:rsidP="00FD08AA">
      <w:pPr>
        <w:ind w:firstLine="708"/>
        <w:rPr>
          <w:b/>
          <w:i/>
          <w:sz w:val="28"/>
          <w:szCs w:val="28"/>
        </w:rPr>
      </w:pPr>
    </w:p>
    <w:p w14:paraId="4D74C670" w14:textId="77777777" w:rsidR="00BD4B53" w:rsidRDefault="00BD4B53" w:rsidP="00FD08AA">
      <w:pPr>
        <w:ind w:firstLine="708"/>
        <w:rPr>
          <w:b/>
          <w:i/>
          <w:sz w:val="28"/>
          <w:szCs w:val="28"/>
        </w:rPr>
      </w:pPr>
    </w:p>
    <w:p w14:paraId="69101947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29A6AF7B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7AA6D0BB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6CA287F9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324746FB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737AD7D5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4AB6FF9D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6978FFFA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620100C5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5B87756F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76B1046E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0003D964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2EB77452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4EF640F6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5826F67E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69CB2F1D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32DB6897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264848C4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3E1C4DDC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5EE3D5C6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658CF980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6C4C84E8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4E939737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0F1CF838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656B2AA6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5B5005E2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27FE984D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6D259CB5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56F9CAAE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47E16A06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2DAD48D7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6BD01FB8" w14:textId="77777777" w:rsidR="0008633D" w:rsidRDefault="0008633D" w:rsidP="00133090">
      <w:pPr>
        <w:ind w:firstLine="708"/>
        <w:rPr>
          <w:b/>
          <w:i/>
          <w:sz w:val="28"/>
          <w:szCs w:val="28"/>
        </w:rPr>
      </w:pPr>
    </w:p>
    <w:p w14:paraId="13ED8823" w14:textId="77777777" w:rsidR="00EA306A" w:rsidRPr="00295DCD" w:rsidRDefault="00EA306A" w:rsidP="00133090">
      <w:pPr>
        <w:ind w:firstLine="708"/>
        <w:rPr>
          <w:i/>
        </w:rPr>
      </w:pPr>
      <w:r w:rsidRPr="00295DCD">
        <w:rPr>
          <w:b/>
          <w:i/>
          <w:sz w:val="28"/>
          <w:szCs w:val="28"/>
        </w:rPr>
        <w:lastRenderedPageBreak/>
        <w:t>Ciljevi provedbe aktivnosti u trogodišnjem razdoblju i pokazatelji uspješnosti kojima će se mjeriti ostvarenje tih ciljeva</w:t>
      </w:r>
    </w:p>
    <w:p w14:paraId="1A8C6B34" w14:textId="77777777" w:rsidR="00EA306A" w:rsidRPr="00197C7A" w:rsidRDefault="00EA306A" w:rsidP="00197C7A">
      <w:pPr>
        <w:rPr>
          <w:b/>
          <w:sz w:val="28"/>
          <w:szCs w:val="28"/>
        </w:rPr>
      </w:pPr>
    </w:p>
    <w:p w14:paraId="17F95E1E" w14:textId="0E989AD2" w:rsidR="00EA306A" w:rsidRDefault="00EA306A">
      <w:pPr>
        <w:jc w:val="both"/>
      </w:pPr>
      <w:r>
        <w:rPr>
          <w:b/>
          <w:sz w:val="28"/>
          <w:szCs w:val="28"/>
        </w:rPr>
        <w:tab/>
      </w:r>
      <w:r>
        <w:t xml:space="preserve">Ciljevi Javne ustanove </w:t>
      </w:r>
      <w:r w:rsidR="0008633D">
        <w:t>„</w:t>
      </w:r>
      <w:r>
        <w:t>Športski objekti Kaštela</w:t>
      </w:r>
      <w:r w:rsidR="0008633D">
        <w:t>“</w:t>
      </w:r>
      <w:r>
        <w:t xml:space="preserve"> temelje se na nekoliko stavaka, a to su:</w:t>
      </w:r>
    </w:p>
    <w:p w14:paraId="549C6F87" w14:textId="77777777" w:rsidR="00EA306A" w:rsidRDefault="00EA306A">
      <w:pPr>
        <w:jc w:val="both"/>
      </w:pPr>
    </w:p>
    <w:p w14:paraId="106F6497" w14:textId="77777777" w:rsidR="00EA306A" w:rsidRDefault="00EA306A">
      <w:pPr>
        <w:numPr>
          <w:ilvl w:val="0"/>
          <w:numId w:val="6"/>
        </w:numPr>
        <w:jc w:val="both"/>
      </w:pPr>
      <w:r>
        <w:t>upravljanje i održavanje športskim dvoranama,</w:t>
      </w:r>
    </w:p>
    <w:p w14:paraId="1C72A077" w14:textId="77777777" w:rsidR="00EA306A" w:rsidRDefault="00EA306A">
      <w:pPr>
        <w:numPr>
          <w:ilvl w:val="0"/>
          <w:numId w:val="6"/>
        </w:numPr>
        <w:jc w:val="both"/>
      </w:pPr>
      <w:r>
        <w:t>športska poduka,</w:t>
      </w:r>
    </w:p>
    <w:p w14:paraId="7482C421" w14:textId="77777777" w:rsidR="00EA306A" w:rsidRDefault="00EA306A">
      <w:pPr>
        <w:numPr>
          <w:ilvl w:val="0"/>
          <w:numId w:val="6"/>
        </w:numPr>
        <w:jc w:val="both"/>
      </w:pPr>
      <w:r>
        <w:t>rekreacija,</w:t>
      </w:r>
    </w:p>
    <w:p w14:paraId="57AB0A17" w14:textId="77777777" w:rsidR="00EA306A" w:rsidRDefault="00EA306A">
      <w:pPr>
        <w:numPr>
          <w:ilvl w:val="0"/>
          <w:numId w:val="6"/>
        </w:numPr>
        <w:jc w:val="both"/>
      </w:pPr>
      <w:r>
        <w:t>održavanje raznih događanja koje su u interesu Grada Kaštela.</w:t>
      </w:r>
    </w:p>
    <w:p w14:paraId="57AF07F8" w14:textId="77777777" w:rsidR="00EA306A" w:rsidRDefault="00EA306A">
      <w:pPr>
        <w:jc w:val="both"/>
      </w:pPr>
    </w:p>
    <w:p w14:paraId="70D19958" w14:textId="77777777" w:rsidR="00EA306A" w:rsidRDefault="00EA306A">
      <w:pPr>
        <w:jc w:val="both"/>
      </w:pPr>
    </w:p>
    <w:p w14:paraId="33F4C685" w14:textId="3A92E75D" w:rsidR="00EA306A" w:rsidRDefault="00EA306A">
      <w:pPr>
        <w:rPr>
          <w:b/>
          <w:bCs/>
        </w:rPr>
      </w:pPr>
      <w:r>
        <w:rPr>
          <w:b/>
          <w:bCs/>
          <w:i/>
          <w:iCs/>
        </w:rPr>
        <w:t>Pokazatelji uspješnosti (samo neki o</w:t>
      </w:r>
      <w:r w:rsidR="006309CB">
        <w:rPr>
          <w:b/>
          <w:bCs/>
          <w:i/>
          <w:iCs/>
        </w:rPr>
        <w:t>d primjera koje Javna ustanova „Š</w:t>
      </w:r>
      <w:r>
        <w:rPr>
          <w:b/>
          <w:bCs/>
          <w:i/>
          <w:iCs/>
        </w:rPr>
        <w:t>portski objekti Kaštela</w:t>
      </w:r>
      <w:r w:rsidR="006309CB"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 može koristiti):</w:t>
      </w:r>
      <w:r>
        <w:rPr>
          <w:b/>
          <w:bCs/>
        </w:rPr>
        <w:t xml:space="preserve"> </w:t>
      </w:r>
    </w:p>
    <w:p w14:paraId="5070B867" w14:textId="77777777" w:rsidR="00EA306A" w:rsidRDefault="00EA306A">
      <w:pPr>
        <w:rPr>
          <w:sz w:val="28"/>
          <w:szCs w:val="28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082"/>
        <w:gridCol w:w="1211"/>
        <w:gridCol w:w="904"/>
        <w:gridCol w:w="1032"/>
        <w:gridCol w:w="963"/>
        <w:gridCol w:w="1032"/>
        <w:gridCol w:w="1032"/>
        <w:gridCol w:w="1132"/>
      </w:tblGrid>
      <w:tr w:rsidR="00EA306A" w14:paraId="79EF5E27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F2A54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Pokazatelj rezultata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78300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Definicija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97077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Jedinica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C5A6E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Polazna vrijednost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5CF3C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Izvor </w:t>
            </w:r>
          </w:p>
          <w:p w14:paraId="0A0BD6CA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podataka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BBA62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Ciljana</w:t>
            </w:r>
          </w:p>
          <w:p w14:paraId="256A0184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6EC8FC78" w14:textId="31DD2B57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08633D">
              <w:rPr>
                <w:sz w:val="20"/>
                <w:szCs w:val="20"/>
              </w:rPr>
              <w:t>3.)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A7E6E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6F211F18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64B2D374" w14:textId="00EE54C0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165800">
              <w:rPr>
                <w:sz w:val="20"/>
                <w:szCs w:val="20"/>
              </w:rPr>
              <w:t>4.)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6ED2C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76A57744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44DD5414" w14:textId="12B76190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</w:t>
            </w:r>
            <w:r w:rsidR="00165800">
              <w:rPr>
                <w:sz w:val="20"/>
                <w:szCs w:val="20"/>
              </w:rPr>
              <w:t>25</w:t>
            </w:r>
            <w:r w:rsidR="00EA306A">
              <w:rPr>
                <w:sz w:val="20"/>
                <w:szCs w:val="20"/>
              </w:rPr>
              <w:t>.)</w:t>
            </w:r>
          </w:p>
        </w:tc>
      </w:tr>
      <w:tr w:rsidR="00EA306A" w14:paraId="2F23D0EE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E4AB" w14:textId="77777777" w:rsidR="00EA306A" w:rsidRDefault="00EA306A">
            <w:pPr>
              <w:snapToGrid w:val="0"/>
              <w:rPr>
                <w:sz w:val="20"/>
                <w:szCs w:val="20"/>
              </w:rPr>
            </w:pPr>
          </w:p>
          <w:p w14:paraId="5080608B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broja  športskih projekata/manifestacija (prvenstvene utakmice raznih uzrasta)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4880A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Korisnike se potiče na zdrav život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3D5C8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0F8D0D96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broj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EE240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3A4A71EA" w14:textId="77777777" w:rsidR="00EA306A" w:rsidRDefault="00EA306A" w:rsidP="00610544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 w:rsidR="006E7776">
              <w:rPr>
                <w:sz w:val="20"/>
                <w:szCs w:val="20"/>
              </w:rPr>
              <w:t>29</w:t>
            </w:r>
            <w:r w:rsidR="00610544">
              <w:rPr>
                <w:sz w:val="20"/>
                <w:szCs w:val="20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0EE7B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1FC9C1AC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 ŠOK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7A6EC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186B717F" w14:textId="77777777" w:rsidR="00EA306A" w:rsidRDefault="00977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DCCBB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79D41997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 w:rsidR="00977D66">
              <w:rPr>
                <w:sz w:val="20"/>
                <w:szCs w:val="20"/>
              </w:rPr>
              <w:t>297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6B934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265BE9C4" w14:textId="77777777" w:rsidR="00EA306A" w:rsidRDefault="00977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299</w:t>
            </w:r>
          </w:p>
        </w:tc>
      </w:tr>
    </w:tbl>
    <w:p w14:paraId="0C13144E" w14:textId="77777777" w:rsidR="00EA306A" w:rsidRDefault="00EA306A">
      <w:pPr>
        <w:jc w:val="both"/>
      </w:pPr>
    </w:p>
    <w:p w14:paraId="52FE9FA5" w14:textId="77777777" w:rsidR="009F494E" w:rsidRDefault="009F494E">
      <w:pPr>
        <w:jc w:val="both"/>
        <w:rPr>
          <w:b/>
          <w:bCs/>
          <w:i/>
          <w:iCs/>
        </w:rPr>
      </w:pPr>
    </w:p>
    <w:p w14:paraId="0D3F5656" w14:textId="496D2ABD" w:rsidR="00EA306A" w:rsidRDefault="00EA306A">
      <w:pPr>
        <w:jc w:val="both"/>
        <w:rPr>
          <w:b/>
          <w:bCs/>
        </w:rPr>
      </w:pPr>
      <w:r>
        <w:rPr>
          <w:b/>
          <w:bCs/>
          <w:i/>
          <w:iCs/>
        </w:rPr>
        <w:t>Pokazatelji uspješnosti (samo neki o</w:t>
      </w:r>
      <w:r w:rsidR="0008633D">
        <w:rPr>
          <w:b/>
          <w:bCs/>
          <w:i/>
          <w:iCs/>
        </w:rPr>
        <w:t>d primjera koje Javna ustanova „Š</w:t>
      </w:r>
      <w:r>
        <w:rPr>
          <w:b/>
          <w:bCs/>
          <w:i/>
          <w:iCs/>
        </w:rPr>
        <w:t>portski objekti Kaštela</w:t>
      </w:r>
      <w:r w:rsidR="0008633D"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 može koristiti):</w:t>
      </w:r>
      <w:r>
        <w:rPr>
          <w:b/>
          <w:bCs/>
        </w:rPr>
        <w:t xml:space="preserve"> 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082"/>
        <w:gridCol w:w="1211"/>
        <w:gridCol w:w="904"/>
        <w:gridCol w:w="1032"/>
        <w:gridCol w:w="963"/>
        <w:gridCol w:w="1032"/>
        <w:gridCol w:w="1032"/>
        <w:gridCol w:w="1132"/>
      </w:tblGrid>
      <w:tr w:rsidR="00EA306A" w14:paraId="6CCE407E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FC91A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Pokazatelj rezultata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2DC90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Definicija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44C4A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Jedinica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F93C4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Polazna vrijednost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49AB9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Izvor </w:t>
            </w:r>
          </w:p>
          <w:p w14:paraId="00F080DB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podataka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BF647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Ciljana</w:t>
            </w:r>
          </w:p>
          <w:p w14:paraId="0573B56C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4303B4FB" w14:textId="03814B60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165800">
              <w:rPr>
                <w:sz w:val="20"/>
                <w:szCs w:val="20"/>
              </w:rPr>
              <w:t>3</w:t>
            </w:r>
            <w:r w:rsidR="00EA306A">
              <w:rPr>
                <w:sz w:val="20"/>
                <w:szCs w:val="20"/>
              </w:rPr>
              <w:t>.)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2E0FC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20BDCC9C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2C5F44D5" w14:textId="36AC8A57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21100B">
              <w:rPr>
                <w:sz w:val="20"/>
                <w:szCs w:val="20"/>
              </w:rPr>
              <w:t>4.)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05E2B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038979B5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4C0EBF50" w14:textId="0FB4620C" w:rsidR="00EA306A" w:rsidRDefault="00E76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="00ED35D7">
              <w:rPr>
                <w:sz w:val="20"/>
                <w:szCs w:val="20"/>
              </w:rPr>
              <w:t>02</w:t>
            </w:r>
            <w:r w:rsidR="0021100B">
              <w:rPr>
                <w:sz w:val="20"/>
                <w:szCs w:val="20"/>
              </w:rPr>
              <w:t>5</w:t>
            </w:r>
            <w:r w:rsidR="00EA306A">
              <w:rPr>
                <w:sz w:val="20"/>
                <w:szCs w:val="20"/>
              </w:rPr>
              <w:t>.)</w:t>
            </w:r>
          </w:p>
        </w:tc>
      </w:tr>
      <w:tr w:rsidR="00EA306A" w:rsidRPr="00D53E7E" w14:paraId="0E01F2F5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D1936" w14:textId="77777777" w:rsidR="00EA306A" w:rsidRPr="00D53E7E" w:rsidRDefault="00EA306A">
            <w:pPr>
              <w:snapToGrid w:val="0"/>
              <w:rPr>
                <w:sz w:val="22"/>
                <w:szCs w:val="20"/>
              </w:rPr>
            </w:pPr>
          </w:p>
          <w:p w14:paraId="230CF4C6" w14:textId="77777777" w:rsidR="00EA306A" w:rsidRPr="00D53E7E" w:rsidRDefault="00EA306A">
            <w:pPr>
              <w:rPr>
                <w:sz w:val="22"/>
                <w:szCs w:val="20"/>
              </w:rPr>
            </w:pPr>
            <w:r w:rsidRPr="00D53E7E">
              <w:rPr>
                <w:sz w:val="22"/>
                <w:szCs w:val="20"/>
              </w:rPr>
              <w:t>Povećanje broja  športskih projekata/manifestacija (treninzi klubova i udruga)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726B2" w14:textId="77777777" w:rsidR="00EA306A" w:rsidRPr="00D53E7E" w:rsidRDefault="00EA306A">
            <w:pPr>
              <w:snapToGrid w:val="0"/>
              <w:rPr>
                <w:sz w:val="22"/>
                <w:szCs w:val="20"/>
              </w:rPr>
            </w:pPr>
            <w:r w:rsidRPr="00D53E7E">
              <w:rPr>
                <w:sz w:val="22"/>
                <w:szCs w:val="20"/>
              </w:rPr>
              <w:t>Korisnike se potiče na zdrav život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618A" w14:textId="77777777" w:rsidR="00EA306A" w:rsidRPr="00D53E7E" w:rsidRDefault="00EA306A">
            <w:pPr>
              <w:snapToGrid w:val="0"/>
              <w:rPr>
                <w:sz w:val="22"/>
                <w:szCs w:val="28"/>
              </w:rPr>
            </w:pPr>
          </w:p>
          <w:p w14:paraId="768ED408" w14:textId="77777777" w:rsidR="00EA306A" w:rsidRPr="00D53E7E" w:rsidRDefault="00EA306A">
            <w:pPr>
              <w:rPr>
                <w:sz w:val="22"/>
                <w:szCs w:val="20"/>
              </w:rPr>
            </w:pPr>
            <w:r w:rsidRPr="00D53E7E">
              <w:rPr>
                <w:sz w:val="22"/>
              </w:rPr>
              <w:t xml:space="preserve"> sati</w:t>
            </w:r>
            <w:r w:rsidRPr="00D53E7E">
              <w:rPr>
                <w:sz w:val="22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91C22" w14:textId="77777777" w:rsidR="00EA306A" w:rsidRPr="00D53E7E" w:rsidRDefault="00EA306A">
            <w:pPr>
              <w:snapToGrid w:val="0"/>
              <w:rPr>
                <w:sz w:val="22"/>
                <w:szCs w:val="28"/>
              </w:rPr>
            </w:pPr>
          </w:p>
          <w:p w14:paraId="3B692D7A" w14:textId="77777777" w:rsidR="00EA306A" w:rsidRPr="00D53E7E" w:rsidRDefault="00EA306A">
            <w:pPr>
              <w:rPr>
                <w:sz w:val="22"/>
                <w:szCs w:val="20"/>
              </w:rPr>
            </w:pPr>
            <w:r w:rsidRPr="00D53E7E">
              <w:rPr>
                <w:sz w:val="22"/>
                <w:szCs w:val="28"/>
              </w:rPr>
              <w:t xml:space="preserve"> </w:t>
            </w:r>
            <w:r w:rsidR="0083238D">
              <w:rPr>
                <w:sz w:val="22"/>
                <w:szCs w:val="20"/>
              </w:rPr>
              <w:t>4572</w:t>
            </w:r>
            <w:r w:rsidRPr="00D53E7E">
              <w:rPr>
                <w:sz w:val="22"/>
                <w:szCs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27517" w14:textId="77777777" w:rsidR="00EA306A" w:rsidRPr="00D53E7E" w:rsidRDefault="00EA306A">
            <w:pPr>
              <w:snapToGrid w:val="0"/>
              <w:rPr>
                <w:sz w:val="22"/>
                <w:szCs w:val="28"/>
              </w:rPr>
            </w:pPr>
          </w:p>
          <w:p w14:paraId="7252D00A" w14:textId="77777777" w:rsidR="00EA306A" w:rsidRPr="00D53E7E" w:rsidRDefault="00EA306A">
            <w:pPr>
              <w:rPr>
                <w:sz w:val="22"/>
                <w:szCs w:val="20"/>
              </w:rPr>
            </w:pPr>
            <w:r w:rsidRPr="00D53E7E">
              <w:rPr>
                <w:sz w:val="22"/>
                <w:szCs w:val="20"/>
              </w:rPr>
              <w:t xml:space="preserve"> JU ŠOK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403EB" w14:textId="77777777" w:rsidR="00EA306A" w:rsidRPr="00D53E7E" w:rsidRDefault="00EA306A">
            <w:pPr>
              <w:snapToGrid w:val="0"/>
              <w:rPr>
                <w:sz w:val="22"/>
                <w:szCs w:val="28"/>
              </w:rPr>
            </w:pPr>
          </w:p>
          <w:p w14:paraId="2B174AFA" w14:textId="77777777" w:rsidR="00EA306A" w:rsidRPr="00D53E7E" w:rsidRDefault="0083238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4585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355C" w14:textId="77777777" w:rsidR="00EA306A" w:rsidRPr="00D53E7E" w:rsidRDefault="00EA306A">
            <w:pPr>
              <w:snapToGrid w:val="0"/>
              <w:rPr>
                <w:sz w:val="22"/>
                <w:szCs w:val="28"/>
              </w:rPr>
            </w:pPr>
          </w:p>
          <w:p w14:paraId="319FCA69" w14:textId="77777777" w:rsidR="00EA306A" w:rsidRPr="00D53E7E" w:rsidRDefault="00EA306A">
            <w:pPr>
              <w:rPr>
                <w:sz w:val="22"/>
                <w:szCs w:val="20"/>
              </w:rPr>
            </w:pPr>
            <w:r w:rsidRPr="00D53E7E">
              <w:rPr>
                <w:sz w:val="22"/>
                <w:szCs w:val="28"/>
              </w:rPr>
              <w:t xml:space="preserve"> </w:t>
            </w:r>
            <w:r w:rsidR="0083238D">
              <w:rPr>
                <w:sz w:val="22"/>
                <w:szCs w:val="20"/>
              </w:rPr>
              <w:t>4595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FCA1" w14:textId="77777777" w:rsidR="00EA306A" w:rsidRPr="00D53E7E" w:rsidRDefault="00EA306A">
            <w:pPr>
              <w:snapToGrid w:val="0"/>
              <w:rPr>
                <w:sz w:val="22"/>
                <w:szCs w:val="28"/>
              </w:rPr>
            </w:pPr>
          </w:p>
          <w:p w14:paraId="57FC8833" w14:textId="77777777" w:rsidR="00EA306A" w:rsidRPr="00D53E7E" w:rsidRDefault="00171AA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 w:rsidR="0083238D">
              <w:rPr>
                <w:sz w:val="22"/>
                <w:szCs w:val="20"/>
              </w:rPr>
              <w:t>4599</w:t>
            </w:r>
          </w:p>
        </w:tc>
      </w:tr>
    </w:tbl>
    <w:p w14:paraId="7C0D82BA" w14:textId="77777777" w:rsidR="0008633D" w:rsidRDefault="0008633D">
      <w:pPr>
        <w:jc w:val="both"/>
        <w:rPr>
          <w:b/>
          <w:bCs/>
          <w:i/>
          <w:iCs/>
        </w:rPr>
      </w:pPr>
    </w:p>
    <w:p w14:paraId="2D5D1341" w14:textId="77777777" w:rsidR="0008633D" w:rsidRDefault="0008633D">
      <w:pPr>
        <w:jc w:val="both"/>
        <w:rPr>
          <w:b/>
          <w:bCs/>
          <w:i/>
          <w:iCs/>
        </w:rPr>
      </w:pPr>
    </w:p>
    <w:p w14:paraId="7BD26017" w14:textId="4B5A5F99" w:rsidR="00EA306A" w:rsidRDefault="00EA306A">
      <w:pPr>
        <w:jc w:val="both"/>
        <w:rPr>
          <w:b/>
          <w:bCs/>
        </w:rPr>
      </w:pPr>
      <w:r>
        <w:rPr>
          <w:b/>
          <w:bCs/>
          <w:i/>
          <w:iCs/>
        </w:rPr>
        <w:t>Pokazatelji uspješnosti (samo neki o</w:t>
      </w:r>
      <w:r w:rsidR="006309CB">
        <w:rPr>
          <w:b/>
          <w:bCs/>
          <w:i/>
          <w:iCs/>
        </w:rPr>
        <w:t>d primjera koje Javna ustanova „Š</w:t>
      </w:r>
      <w:r>
        <w:rPr>
          <w:b/>
          <w:bCs/>
          <w:i/>
          <w:iCs/>
        </w:rPr>
        <w:t>portski objekti Kaštela</w:t>
      </w:r>
      <w:r w:rsidR="006309CB"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 može koristiti):</w:t>
      </w:r>
      <w:r>
        <w:rPr>
          <w:b/>
          <w:bCs/>
        </w:rPr>
        <w:t xml:space="preserve"> 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082"/>
        <w:gridCol w:w="1211"/>
        <w:gridCol w:w="904"/>
        <w:gridCol w:w="1032"/>
        <w:gridCol w:w="963"/>
        <w:gridCol w:w="1032"/>
        <w:gridCol w:w="1032"/>
        <w:gridCol w:w="1132"/>
      </w:tblGrid>
      <w:tr w:rsidR="00EA306A" w14:paraId="53EAE70B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D504F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Pokazatelj rezultata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ECD94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Definicija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1694D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Jedinica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19434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Polazna vrijednost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F51A6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Izvor </w:t>
            </w:r>
          </w:p>
          <w:p w14:paraId="1C1C4771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podataka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D7087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Ciljana</w:t>
            </w:r>
          </w:p>
          <w:p w14:paraId="4702A08B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4AD5C27F" w14:textId="36C44737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21100B">
              <w:rPr>
                <w:sz w:val="20"/>
                <w:szCs w:val="20"/>
              </w:rPr>
              <w:t>3</w:t>
            </w:r>
            <w:r w:rsidR="00EA306A">
              <w:rPr>
                <w:sz w:val="20"/>
                <w:szCs w:val="20"/>
              </w:rPr>
              <w:t>.)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35F5A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01BDB1AD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6555F33E" w14:textId="730E97BF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21100B">
              <w:rPr>
                <w:sz w:val="20"/>
                <w:szCs w:val="20"/>
              </w:rPr>
              <w:t>4</w:t>
            </w:r>
            <w:r w:rsidR="00EA306A">
              <w:rPr>
                <w:sz w:val="20"/>
                <w:szCs w:val="20"/>
              </w:rPr>
              <w:t>.)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709C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0E29EE69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79ABEE89" w14:textId="00021D46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21100B">
              <w:rPr>
                <w:sz w:val="20"/>
                <w:szCs w:val="20"/>
              </w:rPr>
              <w:t>5.)</w:t>
            </w:r>
          </w:p>
        </w:tc>
      </w:tr>
      <w:tr w:rsidR="00EA306A" w14:paraId="25C9A476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E72C6" w14:textId="77777777" w:rsidR="00EA306A" w:rsidRDefault="00EA306A">
            <w:pPr>
              <w:snapToGrid w:val="0"/>
              <w:rPr>
                <w:sz w:val="20"/>
                <w:szCs w:val="20"/>
              </w:rPr>
            </w:pPr>
          </w:p>
          <w:p w14:paraId="407617B5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broja  športskih projekata/manifestacija (korištenje dvorane-OŠ prof. Filip Lukas, TZK)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84550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Mlađi uzrasti se potiču na zdrav život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7B746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750ECE85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5B934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606EE784" w14:textId="77777777" w:rsidR="00EA306A" w:rsidRDefault="00240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1 223 </w:t>
            </w:r>
            <w:r w:rsidR="00EA30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494D0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3FBDAB95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 ŠOK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C398F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54E91943" w14:textId="77777777" w:rsidR="00EA306A" w:rsidRDefault="00240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1 223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AF1EA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409F57ED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 w:rsidR="00240B09">
              <w:rPr>
                <w:sz w:val="20"/>
                <w:szCs w:val="20"/>
              </w:rPr>
              <w:t>1 223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D0899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753FA5D4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1 223 </w:t>
            </w:r>
          </w:p>
        </w:tc>
      </w:tr>
    </w:tbl>
    <w:p w14:paraId="43B712D1" w14:textId="77777777" w:rsidR="00EA306A" w:rsidRDefault="00EA306A">
      <w:pPr>
        <w:tabs>
          <w:tab w:val="left" w:pos="6424"/>
        </w:tabs>
        <w:jc w:val="both"/>
      </w:pPr>
    </w:p>
    <w:p w14:paraId="48881E6B" w14:textId="66E9B642" w:rsidR="00EA306A" w:rsidRDefault="00120085">
      <w:pPr>
        <w:tabs>
          <w:tab w:val="left" w:pos="6424"/>
        </w:tabs>
        <w:jc w:val="both"/>
      </w:pPr>
      <w:r>
        <w:t xml:space="preserve">        </w:t>
      </w:r>
    </w:p>
    <w:p w14:paraId="2903D85F" w14:textId="77777777" w:rsidR="00EA306A" w:rsidRDefault="00EA306A">
      <w:pPr>
        <w:tabs>
          <w:tab w:val="left" w:pos="6424"/>
        </w:tabs>
        <w:jc w:val="both"/>
      </w:pPr>
    </w:p>
    <w:p w14:paraId="139084C3" w14:textId="5628CC79" w:rsidR="00EA306A" w:rsidRDefault="00EA306A">
      <w:pPr>
        <w:jc w:val="both"/>
        <w:rPr>
          <w:b/>
          <w:bCs/>
        </w:rPr>
      </w:pPr>
      <w:r>
        <w:rPr>
          <w:b/>
          <w:bCs/>
          <w:i/>
          <w:iCs/>
        </w:rPr>
        <w:t>Pokazatelji uspješnosti (samo neki o</w:t>
      </w:r>
      <w:r w:rsidR="00120085">
        <w:rPr>
          <w:b/>
          <w:bCs/>
          <w:i/>
          <w:iCs/>
        </w:rPr>
        <w:t>d primjera koje Javna ustanova „Š</w:t>
      </w:r>
      <w:r>
        <w:rPr>
          <w:b/>
          <w:bCs/>
          <w:i/>
          <w:iCs/>
        </w:rPr>
        <w:t>portski objekti Kaštela</w:t>
      </w:r>
      <w:r w:rsidR="00120085"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 može koristiti):</w:t>
      </w:r>
      <w:r>
        <w:rPr>
          <w:b/>
          <w:bCs/>
        </w:rPr>
        <w:t xml:space="preserve"> 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082"/>
        <w:gridCol w:w="1353"/>
        <w:gridCol w:w="762"/>
        <w:gridCol w:w="1032"/>
        <w:gridCol w:w="963"/>
        <w:gridCol w:w="1032"/>
        <w:gridCol w:w="1032"/>
        <w:gridCol w:w="1139"/>
      </w:tblGrid>
      <w:tr w:rsidR="00EA306A" w14:paraId="61E55324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1F4EC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Pokazatelj rezultata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DD189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Definicija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C3968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Jedinica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30CF1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Polazna vrijednost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4624E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Izvor </w:t>
            </w:r>
          </w:p>
          <w:p w14:paraId="2AFBFB44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podataka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32AA2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Ciljana</w:t>
            </w:r>
          </w:p>
          <w:p w14:paraId="68E754E7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0DB109C6" w14:textId="4E19B560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21100B">
              <w:rPr>
                <w:sz w:val="20"/>
                <w:szCs w:val="20"/>
              </w:rPr>
              <w:t>3</w:t>
            </w:r>
            <w:r w:rsidR="00EA306A">
              <w:rPr>
                <w:sz w:val="20"/>
                <w:szCs w:val="20"/>
              </w:rPr>
              <w:t>.)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09AF7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6CD5CBBF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60F64C4E" w14:textId="6B790B6F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21100B">
              <w:rPr>
                <w:sz w:val="20"/>
                <w:szCs w:val="20"/>
              </w:rPr>
              <w:t>4.</w:t>
            </w:r>
            <w:r w:rsidR="00EA306A">
              <w:rPr>
                <w:sz w:val="20"/>
                <w:szCs w:val="20"/>
              </w:rPr>
              <w:t>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A3828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45A93EFB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08E204F8" w14:textId="4A8F8E09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21100B">
              <w:rPr>
                <w:sz w:val="20"/>
                <w:szCs w:val="20"/>
              </w:rPr>
              <w:t>5.)</w:t>
            </w:r>
          </w:p>
        </w:tc>
      </w:tr>
      <w:tr w:rsidR="00EA306A" w14:paraId="49F5ECB6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37CFF" w14:textId="77777777" w:rsidR="00EA306A" w:rsidRDefault="00EA306A">
            <w:pPr>
              <w:snapToGrid w:val="0"/>
              <w:rPr>
                <w:sz w:val="20"/>
                <w:szCs w:val="20"/>
              </w:rPr>
            </w:pPr>
          </w:p>
          <w:p w14:paraId="41CF1236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Ugostiteljska djelatnost</w:t>
            </w:r>
          </w:p>
          <w:p w14:paraId="3FFA77B6" w14:textId="77777777" w:rsidR="00EA306A" w:rsidRDefault="00EA306A">
            <w:pPr>
              <w:rPr>
                <w:sz w:val="20"/>
                <w:szCs w:val="20"/>
              </w:rPr>
            </w:pPr>
          </w:p>
          <w:p w14:paraId="06CF4FA5" w14:textId="77777777" w:rsidR="00EA306A" w:rsidRDefault="00EA306A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2E34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Poboljšanje usluga JU ŠOK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C62BF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poslovnih prostora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51BC4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05771B01" w14:textId="77777777" w:rsidR="00EA306A" w:rsidRDefault="000A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39EF3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3405A2D9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 ŠOK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53F1D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16932509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09A85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0034A867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D20DA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01523633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</w:tr>
    </w:tbl>
    <w:p w14:paraId="7A86E612" w14:textId="77777777" w:rsidR="00EA306A" w:rsidRDefault="00EA306A">
      <w:pPr>
        <w:tabs>
          <w:tab w:val="left" w:pos="6424"/>
        </w:tabs>
        <w:jc w:val="both"/>
      </w:pPr>
    </w:p>
    <w:p w14:paraId="243531AF" w14:textId="77777777" w:rsidR="00EA306A" w:rsidRDefault="00EA306A">
      <w:pPr>
        <w:tabs>
          <w:tab w:val="left" w:pos="6424"/>
        </w:tabs>
        <w:jc w:val="both"/>
      </w:pPr>
    </w:p>
    <w:p w14:paraId="27BFC4D7" w14:textId="77777777" w:rsidR="00EA306A" w:rsidRDefault="00EA306A">
      <w:pPr>
        <w:tabs>
          <w:tab w:val="left" w:pos="6424"/>
        </w:tabs>
        <w:jc w:val="both"/>
      </w:pPr>
    </w:p>
    <w:p w14:paraId="02EF43C7" w14:textId="77777777" w:rsidR="00EA306A" w:rsidRDefault="00EA306A">
      <w:pPr>
        <w:tabs>
          <w:tab w:val="left" w:pos="6424"/>
        </w:tabs>
        <w:jc w:val="both"/>
      </w:pPr>
    </w:p>
    <w:p w14:paraId="3007CA56" w14:textId="77777777" w:rsidR="00EA306A" w:rsidRDefault="00EA306A">
      <w:pPr>
        <w:tabs>
          <w:tab w:val="left" w:pos="6424"/>
        </w:tabs>
        <w:jc w:val="both"/>
      </w:pPr>
      <w:r>
        <w:t xml:space="preserve">  </w:t>
      </w:r>
    </w:p>
    <w:p w14:paraId="35EA230E" w14:textId="717D1B6E" w:rsidR="00EA306A" w:rsidRDefault="00EA306A">
      <w:pPr>
        <w:jc w:val="both"/>
        <w:rPr>
          <w:b/>
          <w:bCs/>
        </w:rPr>
      </w:pPr>
      <w:r>
        <w:rPr>
          <w:b/>
          <w:bCs/>
          <w:i/>
          <w:iCs/>
        </w:rPr>
        <w:t>Pokazatelji uspješnosti (samo neki o</w:t>
      </w:r>
      <w:r w:rsidR="00120085">
        <w:rPr>
          <w:b/>
          <w:bCs/>
          <w:i/>
          <w:iCs/>
        </w:rPr>
        <w:t>d primjera koje Javna ustanova „Š</w:t>
      </w:r>
      <w:r>
        <w:rPr>
          <w:b/>
          <w:bCs/>
          <w:i/>
          <w:iCs/>
        </w:rPr>
        <w:t>portski objekti Kaštela</w:t>
      </w:r>
      <w:r w:rsidR="00120085"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 može koristiti):</w:t>
      </w:r>
      <w:r>
        <w:rPr>
          <w:b/>
          <w:bCs/>
        </w:rPr>
        <w:t xml:space="preserve"> 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082"/>
        <w:gridCol w:w="1353"/>
        <w:gridCol w:w="762"/>
        <w:gridCol w:w="1032"/>
        <w:gridCol w:w="963"/>
        <w:gridCol w:w="1032"/>
        <w:gridCol w:w="1032"/>
        <w:gridCol w:w="1139"/>
      </w:tblGrid>
      <w:tr w:rsidR="00EA306A" w14:paraId="6E5168FC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FAA72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Pokazatelj rezultata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AD9DC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Definicija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4D644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Jedinica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CC699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Polazna vrijednost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B9189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Izvor </w:t>
            </w:r>
          </w:p>
          <w:p w14:paraId="4A5ADFDA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podataka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A990C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Ciljana</w:t>
            </w:r>
          </w:p>
          <w:p w14:paraId="17DE1596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3DEEE61F" w14:textId="5643CCF9" w:rsidR="00EA306A" w:rsidRDefault="00ED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="00ED35D7">
              <w:rPr>
                <w:sz w:val="20"/>
                <w:szCs w:val="20"/>
              </w:rPr>
              <w:t>02</w:t>
            </w:r>
            <w:r w:rsidR="0021100B">
              <w:rPr>
                <w:sz w:val="20"/>
                <w:szCs w:val="20"/>
              </w:rPr>
              <w:t>3</w:t>
            </w:r>
            <w:r w:rsidR="00EA306A">
              <w:rPr>
                <w:sz w:val="20"/>
                <w:szCs w:val="20"/>
              </w:rPr>
              <w:t>.)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F09CF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2327F5CF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4F0DD519" w14:textId="04248FA4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21100B">
              <w:rPr>
                <w:sz w:val="20"/>
                <w:szCs w:val="20"/>
              </w:rPr>
              <w:t>4.</w:t>
            </w:r>
            <w:r w:rsidR="00EA306A">
              <w:rPr>
                <w:sz w:val="20"/>
                <w:szCs w:val="20"/>
              </w:rPr>
              <w:t>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042F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Ciljana </w:t>
            </w:r>
          </w:p>
          <w:p w14:paraId="1B6E72B1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</w:t>
            </w:r>
          </w:p>
          <w:p w14:paraId="7732AE30" w14:textId="072E3400" w:rsidR="00EA306A" w:rsidRDefault="00ED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</w:t>
            </w:r>
            <w:r w:rsidR="0021100B">
              <w:rPr>
                <w:sz w:val="20"/>
                <w:szCs w:val="20"/>
              </w:rPr>
              <w:t>5.</w:t>
            </w:r>
            <w:r w:rsidR="00EA306A">
              <w:rPr>
                <w:sz w:val="20"/>
                <w:szCs w:val="20"/>
              </w:rPr>
              <w:t>)</w:t>
            </w:r>
          </w:p>
        </w:tc>
      </w:tr>
      <w:tr w:rsidR="00EA306A" w14:paraId="3E8FBF55" w14:textId="7777777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58DFF" w14:textId="77777777" w:rsidR="00EA306A" w:rsidRDefault="00EA306A">
            <w:pPr>
              <w:snapToGrid w:val="0"/>
              <w:rPr>
                <w:sz w:val="20"/>
                <w:szCs w:val="20"/>
              </w:rPr>
            </w:pPr>
          </w:p>
          <w:p w14:paraId="5595529E" w14:textId="77777777" w:rsidR="00EA306A" w:rsidRDefault="00E3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Zabavno-športske manifestacije</w:t>
            </w:r>
          </w:p>
          <w:p w14:paraId="5C8F4F37" w14:textId="77777777" w:rsidR="00EA306A" w:rsidRDefault="00EA306A">
            <w:pPr>
              <w:rPr>
                <w:sz w:val="20"/>
                <w:szCs w:val="20"/>
              </w:rPr>
            </w:pPr>
          </w:p>
          <w:p w14:paraId="00DEC654" w14:textId="77777777" w:rsidR="00EA306A" w:rsidRDefault="00EA306A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B33B8" w14:textId="77777777" w:rsidR="00EA306A" w:rsidRDefault="00EA30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Poboljšanje usluga JU ŠOK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C0452" w14:textId="77777777" w:rsidR="00EA306A" w:rsidRDefault="00EA306A">
            <w:pPr>
              <w:snapToGrid w:val="0"/>
              <w:rPr>
                <w:sz w:val="20"/>
                <w:szCs w:val="20"/>
              </w:rPr>
            </w:pPr>
          </w:p>
          <w:p w14:paraId="262E8127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D73F5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41F66016" w14:textId="77777777" w:rsidR="00EA306A" w:rsidRDefault="00D3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0FCEB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23837D71" w14:textId="77777777" w:rsidR="00EA306A" w:rsidRDefault="00EA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 ŠOK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02921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17E678A2" w14:textId="77777777" w:rsidR="00EA306A" w:rsidRDefault="004E1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A7AE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6A63AD54" w14:textId="77777777" w:rsidR="00EA306A" w:rsidRDefault="00D32256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57BF" w14:textId="77777777" w:rsidR="00EA306A" w:rsidRDefault="00EA306A">
            <w:pPr>
              <w:snapToGrid w:val="0"/>
              <w:rPr>
                <w:sz w:val="28"/>
                <w:szCs w:val="28"/>
              </w:rPr>
            </w:pPr>
          </w:p>
          <w:p w14:paraId="6E1BE0E6" w14:textId="77777777" w:rsidR="00EA306A" w:rsidRDefault="004E1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</w:p>
        </w:tc>
      </w:tr>
    </w:tbl>
    <w:p w14:paraId="2BABE963" w14:textId="77777777" w:rsidR="00EF61E2" w:rsidRDefault="00EF61E2">
      <w:pPr>
        <w:tabs>
          <w:tab w:val="left" w:pos="6424"/>
        </w:tabs>
        <w:jc w:val="both"/>
      </w:pPr>
    </w:p>
    <w:p w14:paraId="3AD200A2" w14:textId="77777777" w:rsidR="00CF550C" w:rsidRDefault="00CF550C">
      <w:pPr>
        <w:tabs>
          <w:tab w:val="left" w:pos="6424"/>
        </w:tabs>
        <w:jc w:val="both"/>
        <w:rPr>
          <w:b/>
          <w:bCs/>
          <w:i/>
          <w:iCs/>
          <w:sz w:val="26"/>
          <w:szCs w:val="26"/>
        </w:rPr>
      </w:pPr>
    </w:p>
    <w:p w14:paraId="67924C83" w14:textId="77777777" w:rsidR="00120085" w:rsidRDefault="00120085">
      <w:pPr>
        <w:tabs>
          <w:tab w:val="left" w:pos="6424"/>
        </w:tabs>
        <w:jc w:val="both"/>
        <w:rPr>
          <w:b/>
          <w:bCs/>
          <w:i/>
          <w:iCs/>
          <w:sz w:val="26"/>
          <w:szCs w:val="26"/>
        </w:rPr>
      </w:pPr>
    </w:p>
    <w:p w14:paraId="256F0D5C" w14:textId="77777777" w:rsidR="00CF550C" w:rsidRDefault="00CF550C">
      <w:pPr>
        <w:tabs>
          <w:tab w:val="left" w:pos="6424"/>
        </w:tabs>
        <w:jc w:val="both"/>
        <w:rPr>
          <w:b/>
          <w:bCs/>
          <w:i/>
          <w:iCs/>
          <w:sz w:val="26"/>
          <w:szCs w:val="26"/>
        </w:rPr>
      </w:pPr>
    </w:p>
    <w:p w14:paraId="30605957" w14:textId="77777777" w:rsidR="00EA306A" w:rsidRDefault="00EA306A">
      <w:pPr>
        <w:tabs>
          <w:tab w:val="left" w:pos="6424"/>
        </w:tabs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Obrazloženje ciljeva:</w:t>
      </w:r>
    </w:p>
    <w:p w14:paraId="7B502D0D" w14:textId="77777777" w:rsidR="004E3760" w:rsidRDefault="004E3760">
      <w:pPr>
        <w:tabs>
          <w:tab w:val="left" w:pos="6424"/>
        </w:tabs>
        <w:jc w:val="both"/>
        <w:rPr>
          <w:b/>
          <w:bCs/>
          <w:i/>
          <w:iCs/>
          <w:sz w:val="26"/>
          <w:szCs w:val="26"/>
        </w:rPr>
      </w:pPr>
    </w:p>
    <w:p w14:paraId="4DDD52BE" w14:textId="77777777" w:rsidR="00EA306A" w:rsidRDefault="00EA306A">
      <w:pPr>
        <w:tabs>
          <w:tab w:val="left" w:pos="6424"/>
        </w:tabs>
        <w:jc w:val="both"/>
      </w:pPr>
    </w:p>
    <w:p w14:paraId="3EBC2927" w14:textId="2BB0DED0" w:rsidR="00B61C39" w:rsidRDefault="00EA306A">
      <w:pPr>
        <w:tabs>
          <w:tab w:val="left" w:pos="6424"/>
        </w:tabs>
        <w:jc w:val="both"/>
      </w:pPr>
      <w:r>
        <w:t xml:space="preserve">             Navedeni ciljevi proizlaze iz djelatnosti Javne ustanove </w:t>
      </w:r>
      <w:r w:rsidR="00120085">
        <w:t>„</w:t>
      </w:r>
      <w:r>
        <w:t>Športski objekti Kaštela</w:t>
      </w:r>
      <w:r w:rsidR="00120085">
        <w:t>“</w:t>
      </w:r>
      <w:r>
        <w:t xml:space="preserve"> te služe za poboljšanje kvalitete usluga kao i animiranje korisnika športskih dvorana vodeći računa o vođenju zdravog načina života te stvaranje uvjeta za postizanje vrhunskih rezultata kaštelanskih športaša te stvaranje uvjeta za rekreativno bavljenje športom radi zaštite</w:t>
      </w:r>
      <w:r w:rsidR="009E2A20">
        <w:t xml:space="preserve"> i poboljšanja zdravlja građan</w:t>
      </w:r>
      <w:r w:rsidR="00A164C2">
        <w:t>a.</w:t>
      </w:r>
      <w:r w:rsidR="00B61C39">
        <w:t xml:space="preserve">            </w:t>
      </w:r>
    </w:p>
    <w:p w14:paraId="538386BF" w14:textId="77777777" w:rsidR="00EA306A" w:rsidRDefault="00EA306A">
      <w:pPr>
        <w:tabs>
          <w:tab w:val="left" w:pos="6424"/>
        </w:tabs>
        <w:jc w:val="both"/>
      </w:pPr>
    </w:p>
    <w:p w14:paraId="77D53576" w14:textId="77777777" w:rsidR="0060592F" w:rsidRDefault="0060592F">
      <w:pPr>
        <w:rPr>
          <w:b/>
          <w:i/>
        </w:rPr>
      </w:pPr>
    </w:p>
    <w:p w14:paraId="6897059D" w14:textId="77777777" w:rsidR="0080343E" w:rsidRDefault="0080343E">
      <w:pPr>
        <w:rPr>
          <w:b/>
          <w:i/>
        </w:rPr>
      </w:pPr>
    </w:p>
    <w:p w14:paraId="04BF4C1A" w14:textId="77777777" w:rsidR="0080343E" w:rsidRDefault="0080343E">
      <w:pPr>
        <w:rPr>
          <w:b/>
          <w:i/>
        </w:rPr>
      </w:pPr>
    </w:p>
    <w:p w14:paraId="39D742C9" w14:textId="77777777" w:rsidR="0080343E" w:rsidRDefault="0080343E">
      <w:pPr>
        <w:rPr>
          <w:b/>
          <w:i/>
        </w:rPr>
      </w:pPr>
    </w:p>
    <w:p w14:paraId="1229DB7C" w14:textId="77777777" w:rsidR="0080343E" w:rsidRDefault="0080343E">
      <w:pPr>
        <w:rPr>
          <w:b/>
          <w:i/>
        </w:rPr>
      </w:pPr>
    </w:p>
    <w:p w14:paraId="6AD5DBF1" w14:textId="77777777" w:rsidR="0080343E" w:rsidRDefault="0080343E">
      <w:pPr>
        <w:rPr>
          <w:b/>
          <w:i/>
        </w:rPr>
      </w:pPr>
    </w:p>
    <w:p w14:paraId="296399B9" w14:textId="77777777" w:rsidR="0080343E" w:rsidRDefault="0080343E">
      <w:pPr>
        <w:rPr>
          <w:b/>
          <w:i/>
        </w:rPr>
      </w:pPr>
    </w:p>
    <w:p w14:paraId="6D0D1AB5" w14:textId="77777777" w:rsidR="0080343E" w:rsidRDefault="0080343E">
      <w:pPr>
        <w:rPr>
          <w:b/>
          <w:i/>
        </w:rPr>
      </w:pPr>
    </w:p>
    <w:p w14:paraId="2AC67D0E" w14:textId="77777777" w:rsidR="0080343E" w:rsidRDefault="0080343E">
      <w:pPr>
        <w:rPr>
          <w:b/>
          <w:i/>
        </w:rPr>
      </w:pPr>
    </w:p>
    <w:p w14:paraId="1BB839C3" w14:textId="77777777" w:rsidR="0080343E" w:rsidRDefault="0080343E">
      <w:pPr>
        <w:rPr>
          <w:b/>
          <w:i/>
        </w:rPr>
      </w:pPr>
    </w:p>
    <w:p w14:paraId="058C9FBF" w14:textId="77777777" w:rsidR="0080343E" w:rsidRDefault="0080343E">
      <w:pPr>
        <w:rPr>
          <w:b/>
          <w:i/>
        </w:rPr>
      </w:pPr>
    </w:p>
    <w:p w14:paraId="7ED914CF" w14:textId="77777777" w:rsidR="0080343E" w:rsidRDefault="0080343E">
      <w:pPr>
        <w:rPr>
          <w:b/>
          <w:i/>
        </w:rPr>
      </w:pPr>
    </w:p>
    <w:p w14:paraId="690052C4" w14:textId="77777777" w:rsidR="0080343E" w:rsidRDefault="0080343E">
      <w:pPr>
        <w:rPr>
          <w:b/>
          <w:i/>
        </w:rPr>
      </w:pPr>
    </w:p>
    <w:p w14:paraId="4970D52C" w14:textId="77777777" w:rsidR="00EA306A" w:rsidRPr="0055139E" w:rsidRDefault="00EA306A">
      <w:pPr>
        <w:rPr>
          <w:b/>
          <w:i/>
        </w:rPr>
      </w:pPr>
      <w:r w:rsidRPr="0055139E">
        <w:rPr>
          <w:b/>
          <w:i/>
        </w:rPr>
        <w:lastRenderedPageBreak/>
        <w:t>Zakonske i druge pravne osnove</w:t>
      </w:r>
    </w:p>
    <w:p w14:paraId="08AEC2A5" w14:textId="77777777" w:rsidR="00EA306A" w:rsidRDefault="00EA306A">
      <w:pPr>
        <w:rPr>
          <w:b/>
        </w:rPr>
      </w:pPr>
    </w:p>
    <w:p w14:paraId="336DD642" w14:textId="77777777" w:rsidR="00EA306A" w:rsidRDefault="00EA306A">
      <w:pPr>
        <w:jc w:val="both"/>
      </w:pPr>
    </w:p>
    <w:p w14:paraId="17C18329" w14:textId="7BEF0ABD" w:rsidR="00EA306A" w:rsidRDefault="00EA306A">
      <w:pPr>
        <w:jc w:val="both"/>
      </w:pPr>
      <w:r>
        <w:t xml:space="preserve">                Javna ustanova </w:t>
      </w:r>
      <w:r w:rsidR="00AF3C01">
        <w:t>„</w:t>
      </w:r>
      <w:r>
        <w:t>Športski objekti Kaštela</w:t>
      </w:r>
      <w:r w:rsidR="00AF3C01">
        <w:t>“</w:t>
      </w:r>
      <w:r>
        <w:t xml:space="preserve"> svoj rad i djelatnost te navedene aktivnosti rada zasniva na:</w:t>
      </w:r>
    </w:p>
    <w:p w14:paraId="75D185EC" w14:textId="77777777" w:rsidR="00EA306A" w:rsidRDefault="00EA306A">
      <w:pPr>
        <w:jc w:val="both"/>
      </w:pPr>
    </w:p>
    <w:p w14:paraId="020B9A43" w14:textId="77777777" w:rsidR="00EA306A" w:rsidRDefault="00EA306A">
      <w:pPr>
        <w:numPr>
          <w:ilvl w:val="0"/>
          <w:numId w:val="2"/>
        </w:numPr>
        <w:tabs>
          <w:tab w:val="left" w:pos="6424"/>
        </w:tabs>
        <w:jc w:val="both"/>
      </w:pPr>
      <w:r>
        <w:t>Zakonu o ustanovama (NN, 76/93., 29/97., 47/99., 35/08.</w:t>
      </w:r>
      <w:r w:rsidR="0080537C">
        <w:t xml:space="preserve"> i 127/19.</w:t>
      </w:r>
      <w:r>
        <w:t>),</w:t>
      </w:r>
    </w:p>
    <w:p w14:paraId="1229A2A2" w14:textId="77777777" w:rsidR="00EA306A" w:rsidRDefault="00EA306A">
      <w:pPr>
        <w:numPr>
          <w:ilvl w:val="0"/>
          <w:numId w:val="2"/>
        </w:numPr>
        <w:tabs>
          <w:tab w:val="left" w:pos="6424"/>
        </w:tabs>
        <w:jc w:val="both"/>
      </w:pPr>
      <w:r>
        <w:t>Zakonu o športu (NN 71/06.</w:t>
      </w:r>
      <w:r w:rsidR="00F063F9">
        <w:t>, 150/08., 124/10.,</w:t>
      </w:r>
      <w:r w:rsidR="00E34A78">
        <w:t xml:space="preserve"> </w:t>
      </w:r>
      <w:r w:rsidR="002D6ADD">
        <w:t>124/11</w:t>
      </w:r>
      <w:r w:rsidR="00F063F9">
        <w:t>.,</w:t>
      </w:r>
      <w:r w:rsidR="00E34A78">
        <w:t xml:space="preserve"> </w:t>
      </w:r>
      <w:r w:rsidR="00F063F9">
        <w:t>86/12., 94/13., 85/15.,</w:t>
      </w:r>
      <w:r w:rsidR="00705FD2">
        <w:t xml:space="preserve"> </w:t>
      </w:r>
      <w:r w:rsidR="00E2090D">
        <w:t>19/16.</w:t>
      </w:r>
      <w:r w:rsidR="005761D5">
        <w:t>, 98/19., 47/20. i 77/20.</w:t>
      </w:r>
      <w:r>
        <w:t>),</w:t>
      </w:r>
    </w:p>
    <w:p w14:paraId="6250CD5C" w14:textId="17A8C64E" w:rsidR="00EA306A" w:rsidRDefault="0002050C">
      <w:pPr>
        <w:numPr>
          <w:ilvl w:val="0"/>
          <w:numId w:val="2"/>
        </w:numPr>
        <w:tabs>
          <w:tab w:val="left" w:pos="6424"/>
        </w:tabs>
        <w:jc w:val="both"/>
      </w:pPr>
      <w:r>
        <w:t xml:space="preserve">Zakonu o proračunu (NN 87/08., </w:t>
      </w:r>
      <w:r w:rsidR="00EA306A">
        <w:t>136/12.</w:t>
      </w:r>
      <w:r w:rsidR="00AF3C01">
        <w:t>,</w:t>
      </w:r>
      <w:r w:rsidR="00843568">
        <w:t xml:space="preserve"> 15/15.</w:t>
      </w:r>
      <w:r w:rsidR="00AF3C01">
        <w:t xml:space="preserve"> i 144/21.</w:t>
      </w:r>
      <w:r w:rsidR="00EA306A">
        <w:t>), Pravilniku o proračunskim klasifikacijama (NN 26/10., 120/13</w:t>
      </w:r>
      <w:r w:rsidR="005B6923">
        <w:t>. i 1/20.</w:t>
      </w:r>
      <w:r w:rsidR="00EA306A">
        <w:t>), Pravilniku o proračunskom računovods</w:t>
      </w:r>
      <w:r w:rsidR="002E32EC">
        <w:t>tvu i R</w:t>
      </w:r>
      <w:r w:rsidR="000E1B6E">
        <w:t>ačunskom planu (NN 124/14</w:t>
      </w:r>
      <w:r w:rsidR="00EA306A">
        <w:t xml:space="preserve">., </w:t>
      </w:r>
      <w:r w:rsidR="000E1B6E">
        <w:t>115/15</w:t>
      </w:r>
      <w:r w:rsidR="00EA306A">
        <w:t>.</w:t>
      </w:r>
      <w:r w:rsidR="009D03A3">
        <w:t>; 87/16,</w:t>
      </w:r>
      <w:r w:rsidR="001C34C6">
        <w:t xml:space="preserve"> 3/18</w:t>
      </w:r>
      <w:r w:rsidR="00637088">
        <w:t>.</w:t>
      </w:r>
      <w:r w:rsidR="009D03A3">
        <w:t>, 126/19. i 108/20.</w:t>
      </w:r>
      <w:r w:rsidR="00EA306A">
        <w:t xml:space="preserve">), </w:t>
      </w:r>
    </w:p>
    <w:p w14:paraId="50E32F38" w14:textId="77777777" w:rsidR="00EA306A" w:rsidRDefault="00EA306A">
      <w:pPr>
        <w:numPr>
          <w:ilvl w:val="0"/>
          <w:numId w:val="2"/>
        </w:numPr>
        <w:jc w:val="both"/>
      </w:pPr>
      <w:r>
        <w:t>Zakonu o fiskalnoj odgovornosti</w:t>
      </w:r>
      <w:r w:rsidR="00356480">
        <w:t xml:space="preserve"> (NN </w:t>
      </w:r>
      <w:r w:rsidR="00A71190">
        <w:t>111/18.</w:t>
      </w:r>
      <w:r w:rsidR="00356480">
        <w:t>)</w:t>
      </w:r>
      <w:r>
        <w:t xml:space="preserve"> i Uredbi o sastavljanju i predaji Izjave o fiskalnoj odgovornosti i izvještaja o primjeni fiskalnih pravila (NN 78/11.</w:t>
      </w:r>
      <w:r w:rsidR="000114C0">
        <w:t xml:space="preserve"> i 106/12.</w:t>
      </w:r>
      <w:r w:rsidR="008469BA">
        <w:t>; 130/13.; 19/15. i 119/15.</w:t>
      </w:r>
      <w:r>
        <w:t>),</w:t>
      </w:r>
    </w:p>
    <w:p w14:paraId="3697474B" w14:textId="6C2467CA" w:rsidR="00EA306A" w:rsidRDefault="00EA306A">
      <w:pPr>
        <w:numPr>
          <w:ilvl w:val="0"/>
          <w:numId w:val="2"/>
        </w:numPr>
        <w:tabs>
          <w:tab w:val="left" w:pos="6424"/>
        </w:tabs>
        <w:jc w:val="both"/>
      </w:pPr>
      <w:r>
        <w:t>Uputama za izradu Proračuna</w:t>
      </w:r>
      <w:r w:rsidR="00F67B35">
        <w:t xml:space="preserve"> Grada Kaš</w:t>
      </w:r>
      <w:r w:rsidR="003B1B16">
        <w:t>tela za razdoblje 202</w:t>
      </w:r>
      <w:r w:rsidR="003F5E83">
        <w:t xml:space="preserve">3. - </w:t>
      </w:r>
      <w:r w:rsidR="003B1B16">
        <w:t xml:space="preserve"> 202</w:t>
      </w:r>
      <w:r w:rsidR="003F5E83">
        <w:t>5.</w:t>
      </w:r>
      <w:r w:rsidR="0076179A">
        <w:t xml:space="preserve"> godine</w:t>
      </w:r>
      <w:r>
        <w:t xml:space="preserve">  i dopisa Upravnog odjela za financije, </w:t>
      </w:r>
      <w:r w:rsidR="0076179A">
        <w:t>javnu nabavu</w:t>
      </w:r>
      <w:r>
        <w:t xml:space="preserve"> </w:t>
      </w:r>
      <w:r w:rsidR="00267F6A">
        <w:t xml:space="preserve">i </w:t>
      </w:r>
      <w:r w:rsidR="00AF12C5">
        <w:t>naplatu prihoda</w:t>
      </w:r>
      <w:r w:rsidR="005D33E0">
        <w:t>, KLASA: 400-02/22</w:t>
      </w:r>
      <w:r w:rsidR="00DF7B61">
        <w:t>-</w:t>
      </w:r>
      <w:r w:rsidR="008D086E">
        <w:t>01</w:t>
      </w:r>
      <w:r w:rsidR="004077F7">
        <w:t>/00</w:t>
      </w:r>
      <w:r w:rsidR="003B1B16">
        <w:t>05</w:t>
      </w:r>
      <w:r w:rsidR="002752CB">
        <w:t>, U</w:t>
      </w:r>
      <w:r w:rsidR="005D33E0">
        <w:t>RBROJ: 2181-4-03/1-22-1</w:t>
      </w:r>
      <w:r>
        <w:t xml:space="preserve"> </w:t>
      </w:r>
      <w:r w:rsidR="005D33E0">
        <w:t>od 15</w:t>
      </w:r>
      <w:r>
        <w:t xml:space="preserve">. </w:t>
      </w:r>
      <w:r w:rsidR="003B1B16">
        <w:t>rujna 202</w:t>
      </w:r>
      <w:r w:rsidR="003F5E83">
        <w:t xml:space="preserve">2. </w:t>
      </w:r>
      <w:r>
        <w:t>godine</w:t>
      </w:r>
    </w:p>
    <w:p w14:paraId="6496DAD1" w14:textId="77777777" w:rsidR="00EA306A" w:rsidRDefault="00EA306A">
      <w:pPr>
        <w:tabs>
          <w:tab w:val="left" w:pos="6424"/>
        </w:tabs>
        <w:jc w:val="both"/>
      </w:pPr>
    </w:p>
    <w:p w14:paraId="0A556436" w14:textId="77777777" w:rsidR="00EA306A" w:rsidRDefault="00EA306A">
      <w:pPr>
        <w:tabs>
          <w:tab w:val="left" w:pos="6424"/>
        </w:tabs>
        <w:jc w:val="both"/>
      </w:pPr>
    </w:p>
    <w:p w14:paraId="08F22EC2" w14:textId="77777777" w:rsidR="00EA306A" w:rsidRDefault="00EA306A">
      <w:pPr>
        <w:tabs>
          <w:tab w:val="left" w:pos="6424"/>
        </w:tabs>
        <w:jc w:val="both"/>
      </w:pPr>
    </w:p>
    <w:p w14:paraId="4DF8725C" w14:textId="77777777" w:rsidR="00EA306A" w:rsidRDefault="00EA306A">
      <w:pPr>
        <w:tabs>
          <w:tab w:val="left" w:pos="6424"/>
        </w:tabs>
        <w:jc w:val="both"/>
      </w:pPr>
    </w:p>
    <w:p w14:paraId="4F4821DE" w14:textId="77777777" w:rsidR="00EA306A" w:rsidRPr="00DA5DB7" w:rsidRDefault="00EA306A">
      <w:pPr>
        <w:rPr>
          <w:b/>
          <w:i/>
        </w:rPr>
      </w:pPr>
      <w:r w:rsidRPr="00DA5DB7">
        <w:rPr>
          <w:b/>
          <w:i/>
        </w:rPr>
        <w:t>Usklađeni ciljevi, strategije i programi s dokumentima dugoročnog razvoja</w:t>
      </w:r>
    </w:p>
    <w:p w14:paraId="1D481173" w14:textId="77777777" w:rsidR="00EA306A" w:rsidRDefault="00EA306A"/>
    <w:p w14:paraId="70D22D69" w14:textId="77777777" w:rsidR="00DA5DB7" w:rsidRDefault="00DA5DB7"/>
    <w:p w14:paraId="4A24FDAB" w14:textId="77777777" w:rsidR="00EA306A" w:rsidRDefault="00EA306A">
      <w:pPr>
        <w:jc w:val="both"/>
      </w:pPr>
      <w:r>
        <w:tab/>
        <w:t>Javna ustanova Športski objekti Kaštela ne donosi strateške, već godišnje ope</w:t>
      </w:r>
      <w:r w:rsidR="006D58BB">
        <w:t>rativne planove rada na nivou Javne ustanove Športski objekti</w:t>
      </w:r>
      <w:r>
        <w:t xml:space="preserve"> Kaštela.</w:t>
      </w:r>
    </w:p>
    <w:p w14:paraId="082471F3" w14:textId="77777777" w:rsidR="00EA306A" w:rsidRDefault="00EA306A">
      <w:pPr>
        <w:tabs>
          <w:tab w:val="left" w:pos="6424"/>
        </w:tabs>
        <w:jc w:val="both"/>
      </w:pPr>
    </w:p>
    <w:p w14:paraId="79342F2C" w14:textId="77777777" w:rsidR="00EA306A" w:rsidRDefault="00EA306A">
      <w:pPr>
        <w:tabs>
          <w:tab w:val="left" w:pos="6424"/>
        </w:tabs>
        <w:jc w:val="both"/>
      </w:pPr>
      <w:r>
        <w:t xml:space="preserve">           Kako strateške planove donosi Grad Kaštela, a koji kao takvi nisu usklađeni s ciljevima i programima Športskih objekata, vertikalna usklađivanja ciljeva i programa se u ovom dijelu ne navode.</w:t>
      </w:r>
    </w:p>
    <w:p w14:paraId="62029827" w14:textId="77777777" w:rsidR="00EA306A" w:rsidRDefault="00EA306A">
      <w:pPr>
        <w:tabs>
          <w:tab w:val="left" w:pos="6424"/>
        </w:tabs>
        <w:jc w:val="both"/>
      </w:pPr>
    </w:p>
    <w:p w14:paraId="18940309" w14:textId="77777777" w:rsidR="00EA306A" w:rsidRDefault="00EA306A">
      <w:pPr>
        <w:tabs>
          <w:tab w:val="left" w:pos="6424"/>
        </w:tabs>
        <w:jc w:val="both"/>
      </w:pPr>
    </w:p>
    <w:p w14:paraId="01453535" w14:textId="77777777" w:rsidR="00EA306A" w:rsidRDefault="00EA306A">
      <w:pPr>
        <w:tabs>
          <w:tab w:val="left" w:pos="6424"/>
        </w:tabs>
        <w:jc w:val="both"/>
      </w:pPr>
    </w:p>
    <w:p w14:paraId="5716E9ED" w14:textId="77777777" w:rsidR="00EA306A" w:rsidRDefault="00EA306A">
      <w:pPr>
        <w:tabs>
          <w:tab w:val="left" w:pos="6424"/>
        </w:tabs>
        <w:jc w:val="both"/>
      </w:pPr>
    </w:p>
    <w:p w14:paraId="2519015E" w14:textId="77777777" w:rsidR="00A922C4" w:rsidRDefault="00A922C4">
      <w:pPr>
        <w:tabs>
          <w:tab w:val="left" w:pos="6424"/>
        </w:tabs>
        <w:jc w:val="both"/>
      </w:pPr>
    </w:p>
    <w:p w14:paraId="2DDC8CE1" w14:textId="77777777" w:rsidR="00D469A8" w:rsidRDefault="00D469A8">
      <w:pPr>
        <w:tabs>
          <w:tab w:val="left" w:pos="6424"/>
        </w:tabs>
        <w:jc w:val="both"/>
      </w:pPr>
    </w:p>
    <w:p w14:paraId="01155B99" w14:textId="77777777" w:rsidR="00D469A8" w:rsidRDefault="00D469A8">
      <w:pPr>
        <w:tabs>
          <w:tab w:val="left" w:pos="6424"/>
        </w:tabs>
        <w:jc w:val="both"/>
      </w:pPr>
    </w:p>
    <w:p w14:paraId="2B67B77A" w14:textId="77777777" w:rsidR="00D469A8" w:rsidRDefault="00D469A8">
      <w:pPr>
        <w:tabs>
          <w:tab w:val="left" w:pos="6424"/>
        </w:tabs>
        <w:jc w:val="both"/>
      </w:pPr>
    </w:p>
    <w:p w14:paraId="44F69452" w14:textId="77777777" w:rsidR="00D469A8" w:rsidRDefault="00D469A8">
      <w:pPr>
        <w:tabs>
          <w:tab w:val="left" w:pos="6424"/>
        </w:tabs>
        <w:jc w:val="both"/>
      </w:pPr>
    </w:p>
    <w:p w14:paraId="42A4DA54" w14:textId="77777777" w:rsidR="00D469A8" w:rsidRDefault="00D469A8">
      <w:pPr>
        <w:tabs>
          <w:tab w:val="left" w:pos="6424"/>
        </w:tabs>
        <w:jc w:val="both"/>
      </w:pPr>
    </w:p>
    <w:p w14:paraId="4958A414" w14:textId="77777777" w:rsidR="00D469A8" w:rsidRDefault="00D469A8">
      <w:pPr>
        <w:tabs>
          <w:tab w:val="left" w:pos="6424"/>
        </w:tabs>
        <w:jc w:val="both"/>
      </w:pPr>
    </w:p>
    <w:p w14:paraId="689B6BC1" w14:textId="77777777" w:rsidR="00D469A8" w:rsidRDefault="00D469A8">
      <w:pPr>
        <w:tabs>
          <w:tab w:val="left" w:pos="6424"/>
        </w:tabs>
        <w:jc w:val="both"/>
      </w:pPr>
    </w:p>
    <w:p w14:paraId="2D81B8CF" w14:textId="77777777" w:rsidR="00D469A8" w:rsidRDefault="00D469A8">
      <w:pPr>
        <w:tabs>
          <w:tab w:val="left" w:pos="6424"/>
        </w:tabs>
        <w:jc w:val="both"/>
      </w:pPr>
    </w:p>
    <w:p w14:paraId="649BB40A" w14:textId="77777777" w:rsidR="00D469A8" w:rsidRDefault="00D469A8">
      <w:pPr>
        <w:tabs>
          <w:tab w:val="left" w:pos="6424"/>
        </w:tabs>
        <w:jc w:val="both"/>
      </w:pPr>
    </w:p>
    <w:p w14:paraId="4456D17A" w14:textId="77777777" w:rsidR="00D469A8" w:rsidRDefault="00D469A8">
      <w:pPr>
        <w:tabs>
          <w:tab w:val="left" w:pos="6424"/>
        </w:tabs>
        <w:jc w:val="both"/>
      </w:pPr>
    </w:p>
    <w:p w14:paraId="51AF1A19" w14:textId="77777777" w:rsidR="00D469A8" w:rsidRDefault="00D469A8">
      <w:pPr>
        <w:tabs>
          <w:tab w:val="left" w:pos="6424"/>
        </w:tabs>
        <w:jc w:val="both"/>
      </w:pPr>
    </w:p>
    <w:p w14:paraId="458916AF" w14:textId="77777777" w:rsidR="00D469A8" w:rsidRDefault="00D469A8">
      <w:pPr>
        <w:tabs>
          <w:tab w:val="left" w:pos="6424"/>
        </w:tabs>
        <w:jc w:val="both"/>
      </w:pPr>
    </w:p>
    <w:p w14:paraId="4B56310A" w14:textId="77777777" w:rsidR="00A922C4" w:rsidRDefault="00A922C4">
      <w:pPr>
        <w:tabs>
          <w:tab w:val="left" w:pos="6424"/>
        </w:tabs>
        <w:jc w:val="both"/>
      </w:pPr>
    </w:p>
    <w:p w14:paraId="44A427D2" w14:textId="77777777" w:rsidR="00907D77" w:rsidRPr="00AF342F" w:rsidRDefault="00907D77">
      <w:pPr>
        <w:tabs>
          <w:tab w:val="left" w:pos="6424"/>
        </w:tabs>
        <w:jc w:val="both"/>
        <w:rPr>
          <w:i/>
        </w:rPr>
      </w:pPr>
    </w:p>
    <w:p w14:paraId="68987F4D" w14:textId="77777777" w:rsidR="00EA306A" w:rsidRPr="00AF342F" w:rsidRDefault="00EA306A">
      <w:pPr>
        <w:jc w:val="both"/>
        <w:rPr>
          <w:b/>
          <w:i/>
          <w:iCs/>
          <w:sz w:val="28"/>
          <w:szCs w:val="28"/>
        </w:rPr>
      </w:pPr>
      <w:r w:rsidRPr="00AF342F">
        <w:rPr>
          <w:b/>
          <w:i/>
          <w:sz w:val="28"/>
          <w:szCs w:val="28"/>
        </w:rPr>
        <w:lastRenderedPageBreak/>
        <w:t xml:space="preserve">3. </w:t>
      </w:r>
      <w:r w:rsidRPr="00AF342F">
        <w:rPr>
          <w:b/>
          <w:i/>
          <w:iCs/>
          <w:sz w:val="28"/>
          <w:szCs w:val="28"/>
        </w:rPr>
        <w:t>ISHODIŠTE I POKAZATELJI NA KOJIMA SE ZASNIVAJU IZRAČUNI I OCJENE POTREBNIH SREDSTAVA ZA PROVOĐENJE PROGRAMA</w:t>
      </w:r>
    </w:p>
    <w:p w14:paraId="3D5888E9" w14:textId="77777777" w:rsidR="00EA306A" w:rsidRDefault="00EA306A">
      <w:pPr>
        <w:tabs>
          <w:tab w:val="left" w:pos="6424"/>
        </w:tabs>
        <w:jc w:val="both"/>
        <w:rPr>
          <w:i/>
          <w:iCs/>
          <w:sz w:val="28"/>
          <w:szCs w:val="28"/>
        </w:rPr>
      </w:pPr>
    </w:p>
    <w:p w14:paraId="0889279E" w14:textId="77777777" w:rsidR="00EA306A" w:rsidRDefault="00EA306A">
      <w:pPr>
        <w:tabs>
          <w:tab w:val="left" w:pos="6424"/>
        </w:tabs>
        <w:jc w:val="both"/>
      </w:pPr>
    </w:p>
    <w:p w14:paraId="10C18B21" w14:textId="77777777" w:rsidR="00EA306A" w:rsidRDefault="00EA306A">
      <w:pPr>
        <w:tabs>
          <w:tab w:val="left" w:pos="6424"/>
        </w:tabs>
        <w:jc w:val="both"/>
      </w:pPr>
      <w:r>
        <w:t xml:space="preserve">               Planirani prihodi i rashodi te obrazloženje istih dano je u prethodnom tekstu te se neće ponovno navoditi zbog ponavljanja istih činjenica.</w:t>
      </w:r>
    </w:p>
    <w:p w14:paraId="6C032356" w14:textId="77777777" w:rsidR="00EA306A" w:rsidRDefault="00EA306A">
      <w:pPr>
        <w:tabs>
          <w:tab w:val="left" w:pos="6424"/>
        </w:tabs>
        <w:jc w:val="both"/>
      </w:pPr>
    </w:p>
    <w:p w14:paraId="4F6F9CD7" w14:textId="77777777" w:rsidR="00EA306A" w:rsidRDefault="00EA306A">
      <w:pPr>
        <w:tabs>
          <w:tab w:val="left" w:pos="6424"/>
        </w:tabs>
        <w:jc w:val="both"/>
      </w:pPr>
      <w:r>
        <w:t xml:space="preserve">                   </w:t>
      </w:r>
    </w:p>
    <w:p w14:paraId="07E0D507" w14:textId="77585CA8" w:rsidR="00EA306A" w:rsidRDefault="00D469A8">
      <w:pPr>
        <w:tabs>
          <w:tab w:val="left" w:pos="6424"/>
        </w:tabs>
        <w:jc w:val="both"/>
      </w:pPr>
      <w:r>
        <w:tab/>
      </w:r>
      <w:r>
        <w:tab/>
      </w:r>
      <w:r w:rsidR="00D243B2">
        <w:t>kn</w:t>
      </w:r>
      <w:r w:rsidR="00B02675">
        <w:t>/</w:t>
      </w:r>
      <w:r>
        <w:t>EUR</w:t>
      </w:r>
    </w:p>
    <w:tbl>
      <w:tblPr>
        <w:tblW w:w="90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2496"/>
        <w:gridCol w:w="2040"/>
        <w:gridCol w:w="2272"/>
      </w:tblGrid>
      <w:tr w:rsidR="00EA306A" w14:paraId="5B6E054D" w14:textId="77777777" w:rsidTr="000421C6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916C1" w14:textId="77777777" w:rsidR="00EA306A" w:rsidRDefault="00EA306A">
            <w:pPr>
              <w:pStyle w:val="Sadrajitablice"/>
              <w:snapToGrid w:val="0"/>
            </w:pP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AC036" w14:textId="01739654" w:rsidR="00EA306A" w:rsidRDefault="00EA306A">
            <w:pPr>
              <w:pStyle w:val="Sadrajitablice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Prijedlog plana za</w:t>
            </w:r>
            <w:r w:rsidR="004C3460">
              <w:rPr>
                <w:b/>
                <w:bCs/>
                <w:i/>
                <w:iCs/>
              </w:rPr>
              <w:t xml:space="preserve"> 202</w:t>
            </w:r>
            <w:r w:rsidR="003F5E83">
              <w:rPr>
                <w:b/>
                <w:bCs/>
                <w:i/>
                <w:iCs/>
              </w:rPr>
              <w:t>3.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C7FC7" w14:textId="05D167E1" w:rsidR="00EA306A" w:rsidRDefault="00251616">
            <w:pPr>
              <w:pStyle w:val="Sadrajitablice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Projekcija pla</w:t>
            </w:r>
            <w:r w:rsidR="004C3460">
              <w:rPr>
                <w:b/>
                <w:bCs/>
                <w:i/>
                <w:iCs/>
              </w:rPr>
              <w:t>na za</w:t>
            </w:r>
            <w:r w:rsidR="003732F4">
              <w:rPr>
                <w:b/>
                <w:bCs/>
                <w:i/>
                <w:iCs/>
              </w:rPr>
              <w:t xml:space="preserve"> </w:t>
            </w:r>
            <w:r w:rsidR="004C3460">
              <w:rPr>
                <w:b/>
                <w:bCs/>
                <w:i/>
                <w:iCs/>
              </w:rPr>
              <w:t>202</w:t>
            </w:r>
            <w:r w:rsidR="003F5E83">
              <w:rPr>
                <w:b/>
                <w:bCs/>
                <w:i/>
                <w:iCs/>
              </w:rPr>
              <w:t>4.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FEDCEB" w14:textId="026FCD3E" w:rsidR="00EA306A" w:rsidRDefault="004C3460">
            <w:pPr>
              <w:pStyle w:val="Sadrajitablice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Projekcija plana za 202</w:t>
            </w:r>
            <w:r w:rsidR="003F5E83">
              <w:rPr>
                <w:b/>
                <w:bCs/>
                <w:i/>
                <w:iCs/>
              </w:rPr>
              <w:t>5.</w:t>
            </w:r>
          </w:p>
        </w:tc>
      </w:tr>
      <w:tr w:rsidR="00EA306A" w14:paraId="23FB41E5" w14:textId="77777777" w:rsidTr="000421C6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CE4453" w14:textId="77777777" w:rsidR="00EA306A" w:rsidRDefault="00EA306A">
            <w:pPr>
              <w:pStyle w:val="Sadrajitablice"/>
              <w:snapToGrid w:val="0"/>
            </w:pPr>
            <w:r>
              <w:t>Prihodi ukupno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1FE677" w14:textId="75DD004F" w:rsidR="00EA306A" w:rsidRDefault="007C00D6" w:rsidP="007C00D6">
            <w:pPr>
              <w:pStyle w:val="Sadrajitablice"/>
              <w:snapToGrid w:val="0"/>
              <w:jc w:val="right"/>
            </w:pPr>
            <w:r>
              <w:t>2.322.675,00 kn/308</w:t>
            </w:r>
            <w:r w:rsidR="00D243B2">
              <w:t>.</w:t>
            </w:r>
            <w:r>
              <w:t>272</w:t>
            </w:r>
            <w:r w:rsidR="00D243B2">
              <w:t>,00 EUR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D9338E" w14:textId="346CF3D5" w:rsidR="00EA306A" w:rsidRDefault="00782FD3" w:rsidP="006427FD">
            <w:pPr>
              <w:pStyle w:val="Sadrajitablice"/>
              <w:snapToGrid w:val="0"/>
              <w:jc w:val="right"/>
            </w:pPr>
            <w:r>
              <w:t>2.370.323,00 kn/314.596,00 EUR</w:t>
            </w: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9B9DA3" w14:textId="7436AAD5" w:rsidR="00EA306A" w:rsidRDefault="00782FD3" w:rsidP="006427FD">
            <w:pPr>
              <w:pStyle w:val="Sadrajitablice"/>
              <w:snapToGrid w:val="0"/>
              <w:jc w:val="right"/>
            </w:pPr>
            <w:r>
              <w:t>2.418.024,00 kn/320.927,00 EUR</w:t>
            </w:r>
          </w:p>
        </w:tc>
      </w:tr>
      <w:tr w:rsidR="00EA306A" w14:paraId="3FD3F4A6" w14:textId="77777777" w:rsidTr="000421C6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BB332" w14:textId="77777777" w:rsidR="00EA306A" w:rsidRDefault="00EA306A">
            <w:pPr>
              <w:pStyle w:val="Sadrajitablice"/>
              <w:snapToGrid w:val="0"/>
            </w:pPr>
            <w:r>
              <w:t>Prihodi poslovanja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69088" w14:textId="1090F7CB" w:rsidR="00EA306A" w:rsidRDefault="007C00D6" w:rsidP="007C00D6">
            <w:pPr>
              <w:pStyle w:val="Sadrajitablice"/>
              <w:snapToGrid w:val="0"/>
              <w:jc w:val="right"/>
            </w:pPr>
            <w:r>
              <w:t>2.322</w:t>
            </w:r>
            <w:r w:rsidR="00B8219E">
              <w:t>.</w:t>
            </w:r>
            <w:r>
              <w:t>675,00 kn/308</w:t>
            </w:r>
            <w:r w:rsidR="00B8219E">
              <w:t>.</w:t>
            </w:r>
            <w:r>
              <w:t>272</w:t>
            </w:r>
            <w:r w:rsidR="00B8219E">
              <w:t>,00 EUR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D3858E" w14:textId="04D09A4C" w:rsidR="00EA306A" w:rsidRDefault="00782FD3" w:rsidP="008F4624">
            <w:pPr>
              <w:pStyle w:val="Sadrajitablice"/>
              <w:snapToGrid w:val="0"/>
              <w:jc w:val="right"/>
            </w:pPr>
            <w:r>
              <w:t>2.370.323,00 kn/314.596,00 EUR</w:t>
            </w: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B74B64" w14:textId="07562088" w:rsidR="00EA306A" w:rsidRDefault="00782FD3" w:rsidP="008B5D7E">
            <w:pPr>
              <w:pStyle w:val="Sadrajitablice"/>
              <w:snapToGrid w:val="0"/>
              <w:jc w:val="right"/>
            </w:pPr>
            <w:r>
              <w:t>2.418.024,00 kn/320.927,00 EUR</w:t>
            </w:r>
          </w:p>
        </w:tc>
      </w:tr>
      <w:tr w:rsidR="00EA306A" w14:paraId="451BB46B" w14:textId="77777777" w:rsidTr="000421C6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5D5C6C" w14:textId="77777777" w:rsidR="00EA306A" w:rsidRDefault="00EA306A">
            <w:pPr>
              <w:pStyle w:val="Sadrajitablice"/>
              <w:snapToGrid w:val="0"/>
            </w:pPr>
            <w:r>
              <w:t>Prihodi od nefinancijske imovine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F6617" w14:textId="501895EA" w:rsidR="00EA306A" w:rsidRDefault="002E7D3B" w:rsidP="0087722B">
            <w:pPr>
              <w:pStyle w:val="Sadrajitablice"/>
              <w:snapToGrid w:val="0"/>
              <w:jc w:val="right"/>
            </w:pPr>
            <w:r>
              <w:t>0,00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C4571" w14:textId="51BC03D7" w:rsidR="00EA306A" w:rsidRDefault="00782FD3" w:rsidP="0087722B">
            <w:pPr>
              <w:pStyle w:val="Sadrajitablice"/>
              <w:snapToGrid w:val="0"/>
              <w:jc w:val="right"/>
            </w:pPr>
            <w:r>
              <w:t>0,00</w:t>
            </w: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30C5A9" w14:textId="34EC2BB8" w:rsidR="00EA306A" w:rsidRDefault="00782FD3" w:rsidP="0087722B">
            <w:pPr>
              <w:pStyle w:val="Sadrajitablice"/>
              <w:snapToGrid w:val="0"/>
              <w:jc w:val="right"/>
            </w:pPr>
            <w:r>
              <w:t>0,00</w:t>
            </w:r>
          </w:p>
        </w:tc>
      </w:tr>
      <w:tr w:rsidR="00EA306A" w14:paraId="3432E5CF" w14:textId="77777777" w:rsidTr="000421C6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E54669" w14:textId="77777777" w:rsidR="00EA306A" w:rsidRDefault="00EA306A">
            <w:pPr>
              <w:pStyle w:val="Sadrajitablice"/>
              <w:snapToGrid w:val="0"/>
            </w:pPr>
            <w:r>
              <w:t>Rashodi ukupno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CB064E" w14:textId="02FA98AD" w:rsidR="00EA306A" w:rsidRDefault="009006AD" w:rsidP="0087722B">
            <w:pPr>
              <w:pStyle w:val="Sadrajitablice"/>
              <w:snapToGrid w:val="0"/>
              <w:jc w:val="right"/>
            </w:pPr>
            <w:r>
              <w:t>2.353.657,00 kn/312.384,00 EUR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DC836" w14:textId="00860226" w:rsidR="00EA306A" w:rsidRDefault="0098156F" w:rsidP="00BB581E">
            <w:pPr>
              <w:pStyle w:val="Sadrajitablice"/>
              <w:snapToGrid w:val="0"/>
              <w:jc w:val="right"/>
            </w:pPr>
            <w:r>
              <w:t>2.414.829,00 kn/320.503,00 EUR</w:t>
            </w: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B68C58" w14:textId="50FC726F" w:rsidR="00EA306A" w:rsidRDefault="005C5F1C" w:rsidP="00BB581E">
            <w:pPr>
              <w:pStyle w:val="Sadrajitablice"/>
              <w:snapToGrid w:val="0"/>
              <w:jc w:val="right"/>
            </w:pPr>
            <w:r>
              <w:t>2.467.955,00 kn/327.554,00 EUR</w:t>
            </w:r>
          </w:p>
        </w:tc>
      </w:tr>
      <w:tr w:rsidR="00EA306A" w14:paraId="52F0B9A4" w14:textId="77777777" w:rsidTr="000421C6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A707E0" w14:textId="77777777" w:rsidR="00EA306A" w:rsidRDefault="00EA306A">
            <w:pPr>
              <w:pStyle w:val="Sadrajitablice"/>
              <w:snapToGrid w:val="0"/>
            </w:pPr>
            <w:r>
              <w:t>Rashodi poslovanja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E5CF66" w14:textId="32B61F94" w:rsidR="00EA306A" w:rsidRDefault="00E5463E" w:rsidP="0087722B">
            <w:pPr>
              <w:pStyle w:val="Sadrajitablice"/>
              <w:snapToGrid w:val="0"/>
              <w:jc w:val="right"/>
            </w:pPr>
            <w:r>
              <w:t>2.343.651,00 kn/311.056,00 EUR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5270A5" w14:textId="014AEC49" w:rsidR="00EA306A" w:rsidRDefault="0098156F" w:rsidP="00C41308">
            <w:pPr>
              <w:pStyle w:val="Sadrajitablice"/>
              <w:snapToGrid w:val="0"/>
              <w:jc w:val="right"/>
            </w:pPr>
            <w:r>
              <w:t>2.403.527,00 kn/319.0030,00 EUR</w:t>
            </w: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B835B2" w14:textId="588556F5" w:rsidR="00EA306A" w:rsidRDefault="005C5F1C" w:rsidP="00C41308">
            <w:pPr>
              <w:pStyle w:val="Sadrajitablice"/>
              <w:snapToGrid w:val="0"/>
              <w:jc w:val="right"/>
            </w:pPr>
            <w:r>
              <w:t>2.455.523,00 kn/325.904,00 EUR</w:t>
            </w:r>
          </w:p>
        </w:tc>
      </w:tr>
      <w:tr w:rsidR="00EA306A" w14:paraId="018F09BE" w14:textId="77777777" w:rsidTr="000421C6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0EA975" w14:textId="77777777" w:rsidR="00EA306A" w:rsidRDefault="00EA306A">
            <w:pPr>
              <w:pStyle w:val="Sadrajitablice"/>
              <w:snapToGrid w:val="0"/>
            </w:pPr>
            <w:r>
              <w:t>Rashodi za nefinancijsku imovinu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87E862" w14:textId="0A002248" w:rsidR="00EA306A" w:rsidRDefault="00E5463E" w:rsidP="0087722B">
            <w:pPr>
              <w:pStyle w:val="Sadrajitablice"/>
              <w:snapToGrid w:val="0"/>
              <w:jc w:val="right"/>
            </w:pPr>
            <w:r>
              <w:t>10.006,00 kn/1.328,00 EUR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AF39C" w14:textId="59EFBF11" w:rsidR="00EA306A" w:rsidRDefault="0098156F" w:rsidP="0087722B">
            <w:pPr>
              <w:pStyle w:val="Sadrajitablice"/>
              <w:snapToGrid w:val="0"/>
              <w:jc w:val="right"/>
            </w:pPr>
            <w:r>
              <w:t>11.302,00 kn/1.500,00 EUR</w:t>
            </w: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9072C0" w14:textId="72A0476E" w:rsidR="00EA306A" w:rsidRDefault="005C5F1C" w:rsidP="0087722B">
            <w:pPr>
              <w:pStyle w:val="Sadrajitablice"/>
              <w:snapToGrid w:val="0"/>
              <w:jc w:val="right"/>
            </w:pPr>
            <w:r>
              <w:t>12.432,00 kn/1.650,00 EUR</w:t>
            </w:r>
          </w:p>
        </w:tc>
      </w:tr>
      <w:tr w:rsidR="00EA306A" w14:paraId="2E5688E2" w14:textId="77777777" w:rsidTr="000421C6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757744" w14:textId="77777777" w:rsidR="00EA306A" w:rsidRDefault="00EA306A">
            <w:pPr>
              <w:pStyle w:val="Sadrajitablice"/>
              <w:snapToGrid w:val="0"/>
            </w:pPr>
            <w:r>
              <w:t>Razlika-višak/manjak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6D6338" w14:textId="17CD460A" w:rsidR="00886973" w:rsidRDefault="00E5463E" w:rsidP="00886973">
            <w:pPr>
              <w:pStyle w:val="Sadrajitablice"/>
              <w:snapToGrid w:val="0"/>
              <w:jc w:val="right"/>
            </w:pPr>
            <w:r>
              <w:t>30.982,00 kn/4.112,00 EUR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40F6C" w14:textId="59DAEFAA" w:rsidR="00EA306A" w:rsidRDefault="0098156F" w:rsidP="00435481">
            <w:pPr>
              <w:pStyle w:val="Sadrajitablice"/>
              <w:snapToGrid w:val="0"/>
              <w:jc w:val="right"/>
            </w:pPr>
            <w:r>
              <w:t>44.506,00 kn/5.907,00 EUR</w:t>
            </w: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505EEE" w14:textId="22CFE3DE" w:rsidR="00EA306A" w:rsidRDefault="005C5F1C" w:rsidP="00296337">
            <w:pPr>
              <w:pStyle w:val="Sadrajitablice"/>
              <w:snapToGrid w:val="0"/>
              <w:jc w:val="right"/>
            </w:pPr>
            <w:r>
              <w:t>49.931,00 kn/6.627,00 EUR</w:t>
            </w:r>
          </w:p>
        </w:tc>
      </w:tr>
    </w:tbl>
    <w:p w14:paraId="48CE1753" w14:textId="77777777" w:rsidR="00EA306A" w:rsidRDefault="00EA306A">
      <w:pPr>
        <w:tabs>
          <w:tab w:val="left" w:pos="6424"/>
        </w:tabs>
        <w:jc w:val="both"/>
      </w:pPr>
    </w:p>
    <w:p w14:paraId="2561A119" w14:textId="77777777" w:rsidR="00EA306A" w:rsidRDefault="00EA306A">
      <w:pPr>
        <w:tabs>
          <w:tab w:val="left" w:pos="6424"/>
        </w:tabs>
        <w:jc w:val="both"/>
      </w:pPr>
    </w:p>
    <w:p w14:paraId="2D6DFCAC" w14:textId="77777777" w:rsidR="00EA306A" w:rsidRDefault="00EA306A">
      <w:pPr>
        <w:tabs>
          <w:tab w:val="left" w:pos="6424"/>
        </w:tabs>
        <w:jc w:val="both"/>
      </w:pPr>
    </w:p>
    <w:p w14:paraId="6F831BFD" w14:textId="77777777" w:rsidR="00EA306A" w:rsidRDefault="00EA306A">
      <w:pPr>
        <w:tabs>
          <w:tab w:val="left" w:pos="6424"/>
        </w:tabs>
        <w:jc w:val="both"/>
      </w:pPr>
    </w:p>
    <w:p w14:paraId="13D59A05" w14:textId="77777777" w:rsidR="00EA306A" w:rsidRDefault="00EA306A">
      <w:pPr>
        <w:tabs>
          <w:tab w:val="left" w:pos="6424"/>
        </w:tabs>
        <w:jc w:val="both"/>
      </w:pPr>
    </w:p>
    <w:p w14:paraId="048274E2" w14:textId="77777777" w:rsidR="00EA306A" w:rsidRDefault="00EA306A">
      <w:pPr>
        <w:tabs>
          <w:tab w:val="left" w:pos="6424"/>
        </w:tabs>
        <w:jc w:val="both"/>
      </w:pPr>
    </w:p>
    <w:p w14:paraId="1BCAA505" w14:textId="77777777" w:rsidR="00EA306A" w:rsidRDefault="00EA306A">
      <w:pPr>
        <w:tabs>
          <w:tab w:val="left" w:pos="6424"/>
        </w:tabs>
        <w:jc w:val="both"/>
      </w:pPr>
    </w:p>
    <w:p w14:paraId="48297D05" w14:textId="77777777" w:rsidR="00EA306A" w:rsidRDefault="00EA306A">
      <w:pPr>
        <w:tabs>
          <w:tab w:val="left" w:pos="6424"/>
        </w:tabs>
        <w:jc w:val="both"/>
      </w:pPr>
    </w:p>
    <w:p w14:paraId="7AADF83D" w14:textId="77777777" w:rsidR="00EA306A" w:rsidRDefault="00EA306A">
      <w:pPr>
        <w:tabs>
          <w:tab w:val="left" w:pos="6424"/>
        </w:tabs>
        <w:jc w:val="both"/>
      </w:pPr>
    </w:p>
    <w:p w14:paraId="7F192AAD" w14:textId="77777777" w:rsidR="00EA306A" w:rsidRDefault="00EA306A">
      <w:pPr>
        <w:jc w:val="both"/>
        <w:rPr>
          <w:b/>
          <w:sz w:val="28"/>
          <w:szCs w:val="28"/>
        </w:rPr>
      </w:pPr>
    </w:p>
    <w:p w14:paraId="03872C0F" w14:textId="77777777" w:rsidR="00EA306A" w:rsidRDefault="00EA306A">
      <w:pPr>
        <w:jc w:val="both"/>
        <w:rPr>
          <w:b/>
          <w:sz w:val="28"/>
          <w:szCs w:val="28"/>
        </w:rPr>
      </w:pPr>
    </w:p>
    <w:p w14:paraId="73B1DCA4" w14:textId="77777777" w:rsidR="00EA306A" w:rsidRDefault="00EA306A">
      <w:pPr>
        <w:jc w:val="both"/>
        <w:rPr>
          <w:b/>
          <w:sz w:val="28"/>
          <w:szCs w:val="28"/>
        </w:rPr>
      </w:pPr>
    </w:p>
    <w:p w14:paraId="096A6B54" w14:textId="77777777" w:rsidR="00EA306A" w:rsidRDefault="00EA306A">
      <w:pPr>
        <w:jc w:val="both"/>
        <w:rPr>
          <w:b/>
          <w:sz w:val="28"/>
          <w:szCs w:val="28"/>
        </w:rPr>
      </w:pPr>
    </w:p>
    <w:p w14:paraId="52A430C8" w14:textId="77777777" w:rsidR="00EA306A" w:rsidRDefault="00EA306A">
      <w:pPr>
        <w:jc w:val="both"/>
        <w:rPr>
          <w:b/>
          <w:sz w:val="28"/>
          <w:szCs w:val="28"/>
        </w:rPr>
      </w:pPr>
    </w:p>
    <w:p w14:paraId="7FF05C7E" w14:textId="77777777" w:rsidR="00EA306A" w:rsidRDefault="00EA306A">
      <w:pPr>
        <w:jc w:val="both"/>
        <w:rPr>
          <w:b/>
          <w:sz w:val="28"/>
          <w:szCs w:val="28"/>
        </w:rPr>
      </w:pPr>
    </w:p>
    <w:p w14:paraId="431946EF" w14:textId="77777777" w:rsidR="00EA306A" w:rsidRDefault="00EA306A">
      <w:pPr>
        <w:jc w:val="both"/>
        <w:rPr>
          <w:b/>
          <w:sz w:val="28"/>
          <w:szCs w:val="28"/>
        </w:rPr>
      </w:pPr>
    </w:p>
    <w:p w14:paraId="7C0D039C" w14:textId="77777777" w:rsidR="00EA306A" w:rsidRDefault="00EA306A">
      <w:pPr>
        <w:jc w:val="both"/>
        <w:rPr>
          <w:b/>
          <w:sz w:val="28"/>
          <w:szCs w:val="28"/>
        </w:rPr>
      </w:pPr>
    </w:p>
    <w:p w14:paraId="1A507A0D" w14:textId="77777777" w:rsidR="00EA306A" w:rsidRDefault="00EA306A">
      <w:pPr>
        <w:jc w:val="both"/>
        <w:rPr>
          <w:b/>
          <w:sz w:val="28"/>
          <w:szCs w:val="28"/>
        </w:rPr>
      </w:pPr>
    </w:p>
    <w:p w14:paraId="1C66FA4D" w14:textId="77777777" w:rsidR="00EA306A" w:rsidRDefault="00EA306A">
      <w:pPr>
        <w:jc w:val="both"/>
        <w:rPr>
          <w:b/>
          <w:sz w:val="28"/>
          <w:szCs w:val="28"/>
        </w:rPr>
      </w:pPr>
    </w:p>
    <w:p w14:paraId="359D0A94" w14:textId="77777777" w:rsidR="00EA306A" w:rsidRPr="005756C0" w:rsidRDefault="00EA306A">
      <w:pPr>
        <w:jc w:val="both"/>
        <w:rPr>
          <w:b/>
          <w:i/>
          <w:sz w:val="28"/>
          <w:szCs w:val="28"/>
        </w:rPr>
      </w:pPr>
      <w:r w:rsidRPr="005756C0">
        <w:rPr>
          <w:b/>
          <w:i/>
          <w:sz w:val="28"/>
          <w:szCs w:val="28"/>
        </w:rPr>
        <w:lastRenderedPageBreak/>
        <w:t>4. IZVJEŠTAJ O POSTIGNUTIM CILJEVIMA I REZULTATIMA PROGRAMA TEMELJENIM NA POKAZATELJIMA USPJEŠNOSTI U PRETHODNOJ GODINI</w:t>
      </w:r>
    </w:p>
    <w:p w14:paraId="64ABA8DA" w14:textId="77777777" w:rsidR="00EA306A" w:rsidRDefault="00EA306A">
      <w:pPr>
        <w:tabs>
          <w:tab w:val="left" w:pos="6424"/>
        </w:tabs>
        <w:jc w:val="both"/>
        <w:rPr>
          <w:sz w:val="28"/>
          <w:szCs w:val="28"/>
        </w:rPr>
      </w:pPr>
    </w:p>
    <w:p w14:paraId="2879B247" w14:textId="77777777" w:rsidR="00EA306A" w:rsidRDefault="00EA306A">
      <w:pPr>
        <w:tabs>
          <w:tab w:val="left" w:pos="6424"/>
        </w:tabs>
        <w:jc w:val="both"/>
        <w:rPr>
          <w:sz w:val="28"/>
          <w:szCs w:val="28"/>
        </w:rPr>
      </w:pPr>
    </w:p>
    <w:p w14:paraId="5FB903AA" w14:textId="7DB18EBB" w:rsidR="00EA306A" w:rsidRDefault="00EA306A">
      <w:pPr>
        <w:tabs>
          <w:tab w:val="left" w:pos="6424"/>
        </w:tabs>
        <w:jc w:val="both"/>
      </w:pPr>
      <w:r>
        <w:rPr>
          <w:sz w:val="28"/>
          <w:szCs w:val="28"/>
        </w:rPr>
        <w:t xml:space="preserve">           </w:t>
      </w:r>
      <w:r>
        <w:t>Ti</w:t>
      </w:r>
      <w:r w:rsidR="00F1593E">
        <w:t>jekom 202</w:t>
      </w:r>
      <w:r w:rsidR="00DB3C41">
        <w:t>1</w:t>
      </w:r>
      <w:r>
        <w:t>. godine ostvarene su sljedeće aktivnosti:</w:t>
      </w:r>
    </w:p>
    <w:p w14:paraId="57CE8199" w14:textId="77777777" w:rsidR="00EA306A" w:rsidRDefault="00EA306A">
      <w:pPr>
        <w:tabs>
          <w:tab w:val="left" w:pos="6424"/>
        </w:tabs>
        <w:jc w:val="both"/>
        <w:rPr>
          <w:sz w:val="28"/>
          <w:szCs w:val="28"/>
        </w:rPr>
      </w:pPr>
    </w:p>
    <w:p w14:paraId="284EB98D" w14:textId="45E29611" w:rsidR="00EA306A" w:rsidRDefault="00EA306A">
      <w:pPr>
        <w:numPr>
          <w:ilvl w:val="0"/>
          <w:numId w:val="7"/>
        </w:numPr>
        <w:tabs>
          <w:tab w:val="left" w:pos="6424"/>
        </w:tabs>
        <w:jc w:val="both"/>
      </w:pPr>
      <w:r>
        <w:t>održavanje TZK aktivnosti učeni</w:t>
      </w:r>
      <w:r w:rsidR="00DC18E1">
        <w:t>ka OŠ "prof. Filip Lukas":</w:t>
      </w:r>
      <w:r w:rsidR="00DB3C41">
        <w:t xml:space="preserve"> 1223</w:t>
      </w:r>
      <w:r w:rsidR="00DF2AA6">
        <w:t xml:space="preserve"> sati</w:t>
      </w:r>
      <w:r w:rsidR="00972CBC">
        <w:t xml:space="preserve"> </w:t>
      </w:r>
      <w:r w:rsidR="00F1593E">
        <w:t xml:space="preserve"> </w:t>
      </w:r>
    </w:p>
    <w:p w14:paraId="6F31306F" w14:textId="77777777" w:rsidR="00EA306A" w:rsidRDefault="00EA306A">
      <w:pPr>
        <w:numPr>
          <w:ilvl w:val="0"/>
          <w:numId w:val="7"/>
        </w:numPr>
        <w:tabs>
          <w:tab w:val="left" w:pos="6424"/>
        </w:tabs>
        <w:jc w:val="both"/>
      </w:pPr>
      <w:r>
        <w:t>odigra</w:t>
      </w:r>
      <w:r w:rsidR="00F1553A">
        <w:t>vanje prvenstvenih u</w:t>
      </w:r>
      <w:r w:rsidR="00DC18E1">
        <w:t xml:space="preserve">takmica: </w:t>
      </w:r>
      <w:r w:rsidR="00972CBC">
        <w:t>124</w:t>
      </w:r>
      <w:r w:rsidR="00DF2AA6">
        <w:t xml:space="preserve"> </w:t>
      </w:r>
    </w:p>
    <w:p w14:paraId="4D1C06D6" w14:textId="14B8996B" w:rsidR="00EA306A" w:rsidRDefault="00DC18E1">
      <w:pPr>
        <w:numPr>
          <w:ilvl w:val="0"/>
          <w:numId w:val="7"/>
        </w:numPr>
        <w:tabs>
          <w:tab w:val="left" w:pos="6424"/>
        </w:tabs>
        <w:jc w:val="both"/>
      </w:pPr>
      <w:r>
        <w:t>treninzi klubova i udruga:</w:t>
      </w:r>
      <w:r w:rsidR="00F1593E">
        <w:t xml:space="preserve"> </w:t>
      </w:r>
      <w:r w:rsidR="00DB3C41">
        <w:t xml:space="preserve">3780 </w:t>
      </w:r>
      <w:r w:rsidR="00DF2AA6">
        <w:t xml:space="preserve"> sati</w:t>
      </w:r>
    </w:p>
    <w:p w14:paraId="5D601CCC" w14:textId="77777777" w:rsidR="00EA306A" w:rsidRDefault="00EA306A" w:rsidP="001B0B57">
      <w:pPr>
        <w:numPr>
          <w:ilvl w:val="0"/>
          <w:numId w:val="7"/>
        </w:numPr>
        <w:tabs>
          <w:tab w:val="left" w:pos="6424"/>
        </w:tabs>
        <w:jc w:val="both"/>
      </w:pPr>
      <w:r>
        <w:t>za</w:t>
      </w:r>
      <w:r w:rsidR="00DC18E1">
        <w:t>bavno-športske manifestacije:</w:t>
      </w:r>
      <w:r w:rsidR="00972CBC">
        <w:t xml:space="preserve"> 2</w:t>
      </w:r>
      <w:r w:rsidR="00F1593E">
        <w:t xml:space="preserve"> </w:t>
      </w:r>
    </w:p>
    <w:p w14:paraId="4B3D9A7F" w14:textId="77777777" w:rsidR="002B6C3B" w:rsidRDefault="002B6C3B" w:rsidP="002D7495">
      <w:pPr>
        <w:tabs>
          <w:tab w:val="left" w:pos="6424"/>
        </w:tabs>
        <w:ind w:left="720"/>
        <w:jc w:val="both"/>
      </w:pPr>
    </w:p>
    <w:p w14:paraId="155CD28E" w14:textId="77777777" w:rsidR="00EA306A" w:rsidRDefault="000E13C8">
      <w:pPr>
        <w:tabs>
          <w:tab w:val="left" w:pos="6424"/>
        </w:tabs>
        <w:jc w:val="both"/>
      </w:pPr>
      <w:r>
        <w:t xml:space="preserve">      </w:t>
      </w:r>
    </w:p>
    <w:p w14:paraId="250651F4" w14:textId="77777777" w:rsidR="00EA306A" w:rsidRDefault="00EA306A">
      <w:pPr>
        <w:tabs>
          <w:tab w:val="left" w:pos="6424"/>
        </w:tabs>
        <w:jc w:val="both"/>
      </w:pPr>
    </w:p>
    <w:p w14:paraId="7E82B23D" w14:textId="77777777" w:rsidR="00EA306A" w:rsidRDefault="00EA306A">
      <w:pPr>
        <w:tabs>
          <w:tab w:val="left" w:pos="6424"/>
        </w:tabs>
        <w:jc w:val="both"/>
      </w:pPr>
    </w:p>
    <w:p w14:paraId="76FCBBA1" w14:textId="77777777" w:rsidR="00383A8A" w:rsidRDefault="00383A8A">
      <w:pPr>
        <w:tabs>
          <w:tab w:val="left" w:pos="6424"/>
        </w:tabs>
        <w:jc w:val="both"/>
      </w:pPr>
    </w:p>
    <w:p w14:paraId="58B6F7DD" w14:textId="77777777" w:rsidR="00383A8A" w:rsidRDefault="00383A8A">
      <w:pPr>
        <w:tabs>
          <w:tab w:val="left" w:pos="6424"/>
        </w:tabs>
        <w:jc w:val="both"/>
      </w:pPr>
    </w:p>
    <w:p w14:paraId="7E4FB42B" w14:textId="77777777" w:rsidR="00383A8A" w:rsidRDefault="00383A8A">
      <w:pPr>
        <w:tabs>
          <w:tab w:val="left" w:pos="6424"/>
        </w:tabs>
        <w:jc w:val="both"/>
      </w:pPr>
    </w:p>
    <w:p w14:paraId="52BFE27C" w14:textId="77777777" w:rsidR="00EA306A" w:rsidRDefault="00EA306A">
      <w:pPr>
        <w:tabs>
          <w:tab w:val="left" w:pos="6424"/>
        </w:tabs>
        <w:jc w:val="both"/>
      </w:pPr>
    </w:p>
    <w:p w14:paraId="26609B78" w14:textId="316D5F17" w:rsidR="00EA306A" w:rsidRDefault="00294789">
      <w:pPr>
        <w:tabs>
          <w:tab w:val="left" w:pos="6424"/>
        </w:tabs>
        <w:jc w:val="both"/>
      </w:pPr>
      <w:r>
        <w:t>KLASA: 620-01/22</w:t>
      </w:r>
      <w:r w:rsidR="006C1141">
        <w:t>-01/</w:t>
      </w:r>
      <w:r>
        <w:t>109</w:t>
      </w:r>
    </w:p>
    <w:p w14:paraId="63391E10" w14:textId="525BA462" w:rsidR="00EA306A" w:rsidRDefault="00B85FA8">
      <w:pPr>
        <w:tabs>
          <w:tab w:val="left" w:pos="6424"/>
        </w:tabs>
        <w:jc w:val="both"/>
      </w:pPr>
      <w:r>
        <w:t>URBROJ</w:t>
      </w:r>
      <w:r w:rsidR="004169C8">
        <w:t>: 2181-4-14-22</w:t>
      </w:r>
      <w:r w:rsidR="00DF4020">
        <w:t>-1</w:t>
      </w:r>
    </w:p>
    <w:p w14:paraId="214332FE" w14:textId="7AE45C40" w:rsidR="00EA306A" w:rsidRDefault="00880F22">
      <w:pPr>
        <w:tabs>
          <w:tab w:val="left" w:pos="6424"/>
        </w:tabs>
        <w:jc w:val="both"/>
      </w:pPr>
      <w:r>
        <w:t>Kaštel Sućurac, 12</w:t>
      </w:r>
      <w:r w:rsidR="00EF35BF">
        <w:t xml:space="preserve">. </w:t>
      </w:r>
      <w:r>
        <w:t>listopada 2022</w:t>
      </w:r>
      <w:r w:rsidR="00EA306A">
        <w:t>. godine</w:t>
      </w:r>
    </w:p>
    <w:p w14:paraId="2A07F252" w14:textId="77777777" w:rsidR="00EA306A" w:rsidRDefault="00EA306A">
      <w:pPr>
        <w:tabs>
          <w:tab w:val="left" w:pos="6424"/>
        </w:tabs>
        <w:jc w:val="both"/>
      </w:pPr>
    </w:p>
    <w:p w14:paraId="0DE80889" w14:textId="77777777" w:rsidR="00EA306A" w:rsidRDefault="00EA306A">
      <w:pPr>
        <w:tabs>
          <w:tab w:val="left" w:pos="6424"/>
        </w:tabs>
        <w:jc w:val="both"/>
      </w:pPr>
    </w:p>
    <w:p w14:paraId="199C33F5" w14:textId="77777777" w:rsidR="00EA306A" w:rsidRDefault="00EA306A">
      <w:pPr>
        <w:tabs>
          <w:tab w:val="left" w:pos="6424"/>
        </w:tabs>
        <w:jc w:val="both"/>
      </w:pPr>
    </w:p>
    <w:p w14:paraId="1881FCB9" w14:textId="77777777" w:rsidR="004551A4" w:rsidRDefault="00EA306A">
      <w:pPr>
        <w:tabs>
          <w:tab w:val="left" w:pos="6424"/>
        </w:tabs>
        <w:jc w:val="right"/>
      </w:pPr>
      <w:r>
        <w:tab/>
        <w:t>Ravnatelj</w:t>
      </w:r>
      <w:r w:rsidR="004551A4">
        <w:t>:</w:t>
      </w:r>
    </w:p>
    <w:p w14:paraId="4DC8F9F5" w14:textId="77777777" w:rsidR="00EA306A" w:rsidRDefault="004551A4">
      <w:pPr>
        <w:tabs>
          <w:tab w:val="left" w:pos="6424"/>
        </w:tabs>
        <w:jc w:val="right"/>
      </w:pPr>
      <w:r>
        <w:t xml:space="preserve">Ante </w:t>
      </w:r>
      <w:proofErr w:type="spellStart"/>
      <w:r>
        <w:t>Botić</w:t>
      </w:r>
      <w:proofErr w:type="spellEnd"/>
      <w:r>
        <w:t xml:space="preserve">, dipl. </w:t>
      </w:r>
      <w:proofErr w:type="spellStart"/>
      <w:r>
        <w:t>oec</w:t>
      </w:r>
      <w:proofErr w:type="spellEnd"/>
      <w:r>
        <w:t>.</w:t>
      </w:r>
    </w:p>
    <w:p w14:paraId="322A010C" w14:textId="77777777" w:rsidR="00EA306A" w:rsidRDefault="006C7602">
      <w:pPr>
        <w:tabs>
          <w:tab w:val="left" w:pos="6424"/>
        </w:tabs>
        <w:jc w:val="right"/>
      </w:pPr>
      <w:r>
        <w:tab/>
      </w:r>
      <w:r w:rsidR="00EA306A">
        <w:t xml:space="preserve">                                                                                                      </w:t>
      </w:r>
    </w:p>
    <w:p w14:paraId="1077096C" w14:textId="77777777" w:rsidR="00EA306A" w:rsidRDefault="00EA306A">
      <w:pPr>
        <w:tabs>
          <w:tab w:val="left" w:pos="6424"/>
        </w:tabs>
        <w:jc w:val="both"/>
      </w:pPr>
    </w:p>
    <w:p w14:paraId="41B12277" w14:textId="77777777" w:rsidR="00EA306A" w:rsidRDefault="00EA306A">
      <w:pPr>
        <w:tabs>
          <w:tab w:val="left" w:pos="6424"/>
        </w:tabs>
        <w:jc w:val="both"/>
      </w:pPr>
    </w:p>
    <w:p w14:paraId="43840BD8" w14:textId="77777777" w:rsidR="00EA306A" w:rsidRDefault="00EA306A">
      <w:pPr>
        <w:tabs>
          <w:tab w:val="left" w:pos="6424"/>
        </w:tabs>
        <w:jc w:val="right"/>
      </w:pPr>
    </w:p>
    <w:p w14:paraId="3BC7246D" w14:textId="77777777" w:rsidR="00EA306A" w:rsidRDefault="00EA306A">
      <w:pPr>
        <w:tabs>
          <w:tab w:val="left" w:pos="6424"/>
        </w:tabs>
        <w:jc w:val="right"/>
      </w:pPr>
    </w:p>
    <w:p w14:paraId="61CD43F6" w14:textId="77777777" w:rsidR="00EA306A" w:rsidRDefault="00EA306A">
      <w:pPr>
        <w:tabs>
          <w:tab w:val="left" w:pos="6424"/>
        </w:tabs>
        <w:jc w:val="right"/>
      </w:pPr>
    </w:p>
    <w:p w14:paraId="1AB51075" w14:textId="77777777" w:rsidR="00EA306A" w:rsidRDefault="00EA306A">
      <w:pPr>
        <w:tabs>
          <w:tab w:val="left" w:pos="6424"/>
        </w:tabs>
        <w:jc w:val="both"/>
      </w:pPr>
    </w:p>
    <w:p w14:paraId="2F45150C" w14:textId="77777777" w:rsidR="00EA306A" w:rsidRDefault="00EA306A">
      <w:pPr>
        <w:tabs>
          <w:tab w:val="left" w:pos="6424"/>
        </w:tabs>
        <w:jc w:val="both"/>
      </w:pPr>
    </w:p>
    <w:p w14:paraId="08453E36" w14:textId="77777777" w:rsidR="00EA306A" w:rsidRDefault="00EA306A">
      <w:pPr>
        <w:tabs>
          <w:tab w:val="left" w:pos="6424"/>
        </w:tabs>
        <w:jc w:val="both"/>
      </w:pPr>
    </w:p>
    <w:p w14:paraId="637050B7" w14:textId="77777777" w:rsidR="00EA306A" w:rsidRDefault="00EA306A">
      <w:pPr>
        <w:tabs>
          <w:tab w:val="left" w:pos="6424"/>
        </w:tabs>
        <w:jc w:val="both"/>
      </w:pPr>
    </w:p>
    <w:p w14:paraId="66D57809" w14:textId="77777777" w:rsidR="00EA306A" w:rsidRDefault="00EA306A">
      <w:pPr>
        <w:tabs>
          <w:tab w:val="left" w:pos="6424"/>
        </w:tabs>
        <w:jc w:val="both"/>
      </w:pPr>
    </w:p>
    <w:p w14:paraId="266ADF44" w14:textId="77777777" w:rsidR="00EA306A" w:rsidRDefault="00EA306A">
      <w:pPr>
        <w:tabs>
          <w:tab w:val="left" w:pos="6424"/>
        </w:tabs>
        <w:jc w:val="both"/>
      </w:pPr>
    </w:p>
    <w:p w14:paraId="6D04000D" w14:textId="77777777" w:rsidR="00EA306A" w:rsidRDefault="00EA306A">
      <w:pPr>
        <w:tabs>
          <w:tab w:val="left" w:pos="6424"/>
        </w:tabs>
        <w:jc w:val="both"/>
      </w:pPr>
    </w:p>
    <w:p w14:paraId="4D82F672" w14:textId="77777777" w:rsidR="00EA306A" w:rsidRDefault="00EA306A">
      <w:pPr>
        <w:tabs>
          <w:tab w:val="left" w:pos="6424"/>
        </w:tabs>
        <w:jc w:val="both"/>
      </w:pPr>
    </w:p>
    <w:p w14:paraId="343559D8" w14:textId="77777777" w:rsidR="00EA306A" w:rsidRDefault="00EA306A">
      <w:pPr>
        <w:tabs>
          <w:tab w:val="left" w:pos="6424"/>
        </w:tabs>
        <w:jc w:val="both"/>
      </w:pPr>
    </w:p>
    <w:p w14:paraId="7DC4728E" w14:textId="77777777" w:rsidR="00EA306A" w:rsidRDefault="00EA306A">
      <w:pPr>
        <w:tabs>
          <w:tab w:val="left" w:pos="6424"/>
        </w:tabs>
        <w:jc w:val="both"/>
      </w:pPr>
    </w:p>
    <w:p w14:paraId="746BAF8A" w14:textId="77777777" w:rsidR="00EA306A" w:rsidRDefault="00EA306A">
      <w:pPr>
        <w:tabs>
          <w:tab w:val="left" w:pos="6424"/>
        </w:tabs>
        <w:jc w:val="both"/>
      </w:pPr>
    </w:p>
    <w:p w14:paraId="623A2802" w14:textId="77777777" w:rsidR="00EA306A" w:rsidRDefault="00EA306A">
      <w:pPr>
        <w:tabs>
          <w:tab w:val="left" w:pos="6424"/>
        </w:tabs>
        <w:jc w:val="both"/>
      </w:pPr>
    </w:p>
    <w:p w14:paraId="6C1DBDB3" w14:textId="77777777" w:rsidR="00EA306A" w:rsidRDefault="00EA306A">
      <w:pPr>
        <w:tabs>
          <w:tab w:val="left" w:pos="6424"/>
        </w:tabs>
        <w:jc w:val="both"/>
        <w:rPr>
          <w:b/>
          <w:bCs/>
        </w:rPr>
      </w:pPr>
    </w:p>
    <w:sectPr w:rsidR="00EA306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37040822">
    <w:abstractNumId w:val="0"/>
  </w:num>
  <w:num w:numId="2" w16cid:durableId="1225026049">
    <w:abstractNumId w:val="1"/>
  </w:num>
  <w:num w:numId="3" w16cid:durableId="1712414831">
    <w:abstractNumId w:val="2"/>
  </w:num>
  <w:num w:numId="4" w16cid:durableId="22755577">
    <w:abstractNumId w:val="3"/>
  </w:num>
  <w:num w:numId="5" w16cid:durableId="1834299042">
    <w:abstractNumId w:val="4"/>
  </w:num>
  <w:num w:numId="6" w16cid:durableId="2106071910">
    <w:abstractNumId w:val="5"/>
  </w:num>
  <w:num w:numId="7" w16cid:durableId="233008367">
    <w:abstractNumId w:val="6"/>
  </w:num>
  <w:num w:numId="8" w16cid:durableId="2017994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D7"/>
    <w:rsid w:val="0000322A"/>
    <w:rsid w:val="000044CF"/>
    <w:rsid w:val="00010204"/>
    <w:rsid w:val="0001125D"/>
    <w:rsid w:val="000114C0"/>
    <w:rsid w:val="00012F8B"/>
    <w:rsid w:val="00014635"/>
    <w:rsid w:val="0002050C"/>
    <w:rsid w:val="0002129B"/>
    <w:rsid w:val="00027A17"/>
    <w:rsid w:val="00030D61"/>
    <w:rsid w:val="000315B7"/>
    <w:rsid w:val="0004179D"/>
    <w:rsid w:val="000421C6"/>
    <w:rsid w:val="00042822"/>
    <w:rsid w:val="00060937"/>
    <w:rsid w:val="000666C1"/>
    <w:rsid w:val="00081453"/>
    <w:rsid w:val="0008633D"/>
    <w:rsid w:val="00087202"/>
    <w:rsid w:val="00090429"/>
    <w:rsid w:val="0009114E"/>
    <w:rsid w:val="000929E9"/>
    <w:rsid w:val="00096696"/>
    <w:rsid w:val="000A06C0"/>
    <w:rsid w:val="000A2E43"/>
    <w:rsid w:val="000A53D8"/>
    <w:rsid w:val="000A5512"/>
    <w:rsid w:val="000B273B"/>
    <w:rsid w:val="000B700D"/>
    <w:rsid w:val="000B778F"/>
    <w:rsid w:val="000C3159"/>
    <w:rsid w:val="000D5394"/>
    <w:rsid w:val="000D6CE9"/>
    <w:rsid w:val="000E13C8"/>
    <w:rsid w:val="000E1B6E"/>
    <w:rsid w:val="000E2FE1"/>
    <w:rsid w:val="000E5655"/>
    <w:rsid w:val="000F45D8"/>
    <w:rsid w:val="001127F0"/>
    <w:rsid w:val="00115461"/>
    <w:rsid w:val="00120085"/>
    <w:rsid w:val="00121228"/>
    <w:rsid w:val="00123E6F"/>
    <w:rsid w:val="0013261C"/>
    <w:rsid w:val="00133090"/>
    <w:rsid w:val="0013374E"/>
    <w:rsid w:val="00141CA6"/>
    <w:rsid w:val="00141CC4"/>
    <w:rsid w:val="00150496"/>
    <w:rsid w:val="001518EB"/>
    <w:rsid w:val="00161E3A"/>
    <w:rsid w:val="00162071"/>
    <w:rsid w:val="00165800"/>
    <w:rsid w:val="00165DB2"/>
    <w:rsid w:val="00171AAF"/>
    <w:rsid w:val="00177589"/>
    <w:rsid w:val="00180B0B"/>
    <w:rsid w:val="001922C8"/>
    <w:rsid w:val="0019316E"/>
    <w:rsid w:val="00195B36"/>
    <w:rsid w:val="001973C9"/>
    <w:rsid w:val="00197C7A"/>
    <w:rsid w:val="001A11C8"/>
    <w:rsid w:val="001A1765"/>
    <w:rsid w:val="001A793B"/>
    <w:rsid w:val="001B0B57"/>
    <w:rsid w:val="001C34C6"/>
    <w:rsid w:val="001C6550"/>
    <w:rsid w:val="001D1929"/>
    <w:rsid w:val="001D51BA"/>
    <w:rsid w:val="001D52B7"/>
    <w:rsid w:val="001D54CD"/>
    <w:rsid w:val="001D6E33"/>
    <w:rsid w:val="001D72AA"/>
    <w:rsid w:val="001E1667"/>
    <w:rsid w:val="001E1803"/>
    <w:rsid w:val="001E2515"/>
    <w:rsid w:val="001E2559"/>
    <w:rsid w:val="001E27ED"/>
    <w:rsid w:val="001E4A9D"/>
    <w:rsid w:val="001E7066"/>
    <w:rsid w:val="001F1236"/>
    <w:rsid w:val="001F1BD7"/>
    <w:rsid w:val="001F3ED0"/>
    <w:rsid w:val="002004B2"/>
    <w:rsid w:val="002015EA"/>
    <w:rsid w:val="00202227"/>
    <w:rsid w:val="002057DF"/>
    <w:rsid w:val="0021100B"/>
    <w:rsid w:val="002136E2"/>
    <w:rsid w:val="00214652"/>
    <w:rsid w:val="0022777B"/>
    <w:rsid w:val="00232A5C"/>
    <w:rsid w:val="00233505"/>
    <w:rsid w:val="0023358B"/>
    <w:rsid w:val="00234902"/>
    <w:rsid w:val="0023572A"/>
    <w:rsid w:val="002375E7"/>
    <w:rsid w:val="002408D4"/>
    <w:rsid w:val="00240B09"/>
    <w:rsid w:val="0024534F"/>
    <w:rsid w:val="00246223"/>
    <w:rsid w:val="002464BF"/>
    <w:rsid w:val="0024681B"/>
    <w:rsid w:val="00251616"/>
    <w:rsid w:val="0026418E"/>
    <w:rsid w:val="00267F6A"/>
    <w:rsid w:val="0027125D"/>
    <w:rsid w:val="00273656"/>
    <w:rsid w:val="002752CB"/>
    <w:rsid w:val="00275619"/>
    <w:rsid w:val="002840F1"/>
    <w:rsid w:val="0028506D"/>
    <w:rsid w:val="00291ED1"/>
    <w:rsid w:val="00294789"/>
    <w:rsid w:val="00295DCD"/>
    <w:rsid w:val="00296337"/>
    <w:rsid w:val="002A1247"/>
    <w:rsid w:val="002A3501"/>
    <w:rsid w:val="002A39DF"/>
    <w:rsid w:val="002A51A0"/>
    <w:rsid w:val="002A65CB"/>
    <w:rsid w:val="002B3AF5"/>
    <w:rsid w:val="002B529C"/>
    <w:rsid w:val="002B5453"/>
    <w:rsid w:val="002B6C3B"/>
    <w:rsid w:val="002C6DE1"/>
    <w:rsid w:val="002D157E"/>
    <w:rsid w:val="002D24A9"/>
    <w:rsid w:val="002D6ADD"/>
    <w:rsid w:val="002D7495"/>
    <w:rsid w:val="002D78BD"/>
    <w:rsid w:val="002E0DB1"/>
    <w:rsid w:val="002E32EC"/>
    <w:rsid w:val="002E3EAA"/>
    <w:rsid w:val="002E6EE0"/>
    <w:rsid w:val="002E7D3B"/>
    <w:rsid w:val="002F15EF"/>
    <w:rsid w:val="002F1653"/>
    <w:rsid w:val="002F5998"/>
    <w:rsid w:val="00301EC8"/>
    <w:rsid w:val="00306AAE"/>
    <w:rsid w:val="00307511"/>
    <w:rsid w:val="0031260D"/>
    <w:rsid w:val="00312D25"/>
    <w:rsid w:val="00320D84"/>
    <w:rsid w:val="003246D2"/>
    <w:rsid w:val="003265F5"/>
    <w:rsid w:val="003279C6"/>
    <w:rsid w:val="0033062D"/>
    <w:rsid w:val="0033379E"/>
    <w:rsid w:val="003360E5"/>
    <w:rsid w:val="00345520"/>
    <w:rsid w:val="00345628"/>
    <w:rsid w:val="00345AA6"/>
    <w:rsid w:val="003479BA"/>
    <w:rsid w:val="00350905"/>
    <w:rsid w:val="0035193A"/>
    <w:rsid w:val="0035615C"/>
    <w:rsid w:val="00356480"/>
    <w:rsid w:val="00357F91"/>
    <w:rsid w:val="003732F4"/>
    <w:rsid w:val="00373413"/>
    <w:rsid w:val="00375A36"/>
    <w:rsid w:val="0037656C"/>
    <w:rsid w:val="003831A4"/>
    <w:rsid w:val="00383A70"/>
    <w:rsid w:val="00383A8A"/>
    <w:rsid w:val="003A07A9"/>
    <w:rsid w:val="003A45E9"/>
    <w:rsid w:val="003A54FD"/>
    <w:rsid w:val="003A69E7"/>
    <w:rsid w:val="003B1B16"/>
    <w:rsid w:val="003B4464"/>
    <w:rsid w:val="003B66DA"/>
    <w:rsid w:val="003B6CB1"/>
    <w:rsid w:val="003C2DBC"/>
    <w:rsid w:val="003C4C0E"/>
    <w:rsid w:val="003D467E"/>
    <w:rsid w:val="003E2404"/>
    <w:rsid w:val="003E358C"/>
    <w:rsid w:val="003E5BD7"/>
    <w:rsid w:val="003E6938"/>
    <w:rsid w:val="003F0423"/>
    <w:rsid w:val="003F0726"/>
    <w:rsid w:val="003F48A1"/>
    <w:rsid w:val="003F5E83"/>
    <w:rsid w:val="003F7D59"/>
    <w:rsid w:val="00404A91"/>
    <w:rsid w:val="00407556"/>
    <w:rsid w:val="004077F7"/>
    <w:rsid w:val="00412788"/>
    <w:rsid w:val="004169C8"/>
    <w:rsid w:val="00420A99"/>
    <w:rsid w:val="00421CB4"/>
    <w:rsid w:val="00425823"/>
    <w:rsid w:val="0042660A"/>
    <w:rsid w:val="00427B5F"/>
    <w:rsid w:val="00427F80"/>
    <w:rsid w:val="00435481"/>
    <w:rsid w:val="00435D81"/>
    <w:rsid w:val="00437326"/>
    <w:rsid w:val="00440557"/>
    <w:rsid w:val="00441F8B"/>
    <w:rsid w:val="00442B67"/>
    <w:rsid w:val="00444C2F"/>
    <w:rsid w:val="00450B63"/>
    <w:rsid w:val="0045482F"/>
    <w:rsid w:val="004551A4"/>
    <w:rsid w:val="00455CD0"/>
    <w:rsid w:val="00463983"/>
    <w:rsid w:val="0047057E"/>
    <w:rsid w:val="00470991"/>
    <w:rsid w:val="00484194"/>
    <w:rsid w:val="004864DE"/>
    <w:rsid w:val="00486B0C"/>
    <w:rsid w:val="004935CA"/>
    <w:rsid w:val="004B0664"/>
    <w:rsid w:val="004B0CD3"/>
    <w:rsid w:val="004B0D96"/>
    <w:rsid w:val="004B7FDB"/>
    <w:rsid w:val="004C3460"/>
    <w:rsid w:val="004C4B21"/>
    <w:rsid w:val="004C5CC8"/>
    <w:rsid w:val="004C6587"/>
    <w:rsid w:val="004D7207"/>
    <w:rsid w:val="004D79DF"/>
    <w:rsid w:val="004D7DF0"/>
    <w:rsid w:val="004D7E14"/>
    <w:rsid w:val="004E0178"/>
    <w:rsid w:val="004E123E"/>
    <w:rsid w:val="004E1A53"/>
    <w:rsid w:val="004E2A08"/>
    <w:rsid w:val="004E34F4"/>
    <w:rsid w:val="004E3760"/>
    <w:rsid w:val="004E7F13"/>
    <w:rsid w:val="004F036C"/>
    <w:rsid w:val="004F0ECA"/>
    <w:rsid w:val="004F288C"/>
    <w:rsid w:val="004F3650"/>
    <w:rsid w:val="004F3C4F"/>
    <w:rsid w:val="00502CAA"/>
    <w:rsid w:val="00511156"/>
    <w:rsid w:val="005119B6"/>
    <w:rsid w:val="005154FB"/>
    <w:rsid w:val="0051663D"/>
    <w:rsid w:val="005167BF"/>
    <w:rsid w:val="0052503F"/>
    <w:rsid w:val="00525A95"/>
    <w:rsid w:val="00527317"/>
    <w:rsid w:val="0055139E"/>
    <w:rsid w:val="00554A9A"/>
    <w:rsid w:val="0055530F"/>
    <w:rsid w:val="005568C6"/>
    <w:rsid w:val="00564A1A"/>
    <w:rsid w:val="005670BB"/>
    <w:rsid w:val="00571EBB"/>
    <w:rsid w:val="00573644"/>
    <w:rsid w:val="00573F1A"/>
    <w:rsid w:val="005748FE"/>
    <w:rsid w:val="005756C0"/>
    <w:rsid w:val="005761D5"/>
    <w:rsid w:val="005801A2"/>
    <w:rsid w:val="00580698"/>
    <w:rsid w:val="005834AB"/>
    <w:rsid w:val="00583AD1"/>
    <w:rsid w:val="00583BCE"/>
    <w:rsid w:val="00585A89"/>
    <w:rsid w:val="005907F1"/>
    <w:rsid w:val="00591509"/>
    <w:rsid w:val="005B3128"/>
    <w:rsid w:val="005B33C4"/>
    <w:rsid w:val="005B6923"/>
    <w:rsid w:val="005C10F7"/>
    <w:rsid w:val="005C5F1C"/>
    <w:rsid w:val="005C6D55"/>
    <w:rsid w:val="005D028F"/>
    <w:rsid w:val="005D33E0"/>
    <w:rsid w:val="005D4210"/>
    <w:rsid w:val="005D4DC4"/>
    <w:rsid w:val="005D5734"/>
    <w:rsid w:val="005E1AD8"/>
    <w:rsid w:val="005E452F"/>
    <w:rsid w:val="005F17AB"/>
    <w:rsid w:val="0060592F"/>
    <w:rsid w:val="00610544"/>
    <w:rsid w:val="00613BF7"/>
    <w:rsid w:val="00616DFA"/>
    <w:rsid w:val="006239AC"/>
    <w:rsid w:val="00627CB3"/>
    <w:rsid w:val="006309CB"/>
    <w:rsid w:val="00632B18"/>
    <w:rsid w:val="00637088"/>
    <w:rsid w:val="006427FD"/>
    <w:rsid w:val="00654502"/>
    <w:rsid w:val="00655A00"/>
    <w:rsid w:val="0065692C"/>
    <w:rsid w:val="0066229D"/>
    <w:rsid w:val="00663B49"/>
    <w:rsid w:val="00664233"/>
    <w:rsid w:val="00672B10"/>
    <w:rsid w:val="00674331"/>
    <w:rsid w:val="0068261C"/>
    <w:rsid w:val="006872E6"/>
    <w:rsid w:val="006877BB"/>
    <w:rsid w:val="00694228"/>
    <w:rsid w:val="006958C6"/>
    <w:rsid w:val="006958F8"/>
    <w:rsid w:val="00695F41"/>
    <w:rsid w:val="00696096"/>
    <w:rsid w:val="00697375"/>
    <w:rsid w:val="006A4867"/>
    <w:rsid w:val="006A4D83"/>
    <w:rsid w:val="006A5B0F"/>
    <w:rsid w:val="006A68AC"/>
    <w:rsid w:val="006A7200"/>
    <w:rsid w:val="006B2DFC"/>
    <w:rsid w:val="006B4098"/>
    <w:rsid w:val="006B5D54"/>
    <w:rsid w:val="006C1117"/>
    <w:rsid w:val="006C1141"/>
    <w:rsid w:val="006C7602"/>
    <w:rsid w:val="006D03CE"/>
    <w:rsid w:val="006D3944"/>
    <w:rsid w:val="006D3C28"/>
    <w:rsid w:val="006D58BB"/>
    <w:rsid w:val="006E41A6"/>
    <w:rsid w:val="006E4C70"/>
    <w:rsid w:val="006E71BC"/>
    <w:rsid w:val="006E7776"/>
    <w:rsid w:val="006E77D7"/>
    <w:rsid w:val="006F3ED7"/>
    <w:rsid w:val="006F3F96"/>
    <w:rsid w:val="006F4AC0"/>
    <w:rsid w:val="006F5F1B"/>
    <w:rsid w:val="00700711"/>
    <w:rsid w:val="00703A50"/>
    <w:rsid w:val="00704ABD"/>
    <w:rsid w:val="00705FD2"/>
    <w:rsid w:val="00720636"/>
    <w:rsid w:val="00720CFA"/>
    <w:rsid w:val="00721F22"/>
    <w:rsid w:val="00722F14"/>
    <w:rsid w:val="007241BB"/>
    <w:rsid w:val="0072518F"/>
    <w:rsid w:val="007258DB"/>
    <w:rsid w:val="00733339"/>
    <w:rsid w:val="00735EEF"/>
    <w:rsid w:val="00745B20"/>
    <w:rsid w:val="0075018C"/>
    <w:rsid w:val="00751F8B"/>
    <w:rsid w:val="00760174"/>
    <w:rsid w:val="0076179A"/>
    <w:rsid w:val="00763652"/>
    <w:rsid w:val="00763E02"/>
    <w:rsid w:val="007659E1"/>
    <w:rsid w:val="00782199"/>
    <w:rsid w:val="00782FD3"/>
    <w:rsid w:val="00784CEF"/>
    <w:rsid w:val="00784DFE"/>
    <w:rsid w:val="0078699D"/>
    <w:rsid w:val="007903FF"/>
    <w:rsid w:val="007904E0"/>
    <w:rsid w:val="00794F58"/>
    <w:rsid w:val="007971F5"/>
    <w:rsid w:val="007A6043"/>
    <w:rsid w:val="007B24DA"/>
    <w:rsid w:val="007B3409"/>
    <w:rsid w:val="007C00D6"/>
    <w:rsid w:val="007C00F7"/>
    <w:rsid w:val="007C1BE5"/>
    <w:rsid w:val="007C7CC4"/>
    <w:rsid w:val="007D6521"/>
    <w:rsid w:val="007F02D7"/>
    <w:rsid w:val="00801959"/>
    <w:rsid w:val="008024A7"/>
    <w:rsid w:val="00802A6D"/>
    <w:rsid w:val="0080343E"/>
    <w:rsid w:val="0080537C"/>
    <w:rsid w:val="0080573A"/>
    <w:rsid w:val="00811C9F"/>
    <w:rsid w:val="0081365A"/>
    <w:rsid w:val="008163CB"/>
    <w:rsid w:val="008260F2"/>
    <w:rsid w:val="0082673F"/>
    <w:rsid w:val="00827708"/>
    <w:rsid w:val="0083238D"/>
    <w:rsid w:val="00832F4E"/>
    <w:rsid w:val="00833573"/>
    <w:rsid w:val="0083414A"/>
    <w:rsid w:val="00843481"/>
    <w:rsid w:val="00843568"/>
    <w:rsid w:val="00845FB3"/>
    <w:rsid w:val="008469BA"/>
    <w:rsid w:val="00855135"/>
    <w:rsid w:val="0085573C"/>
    <w:rsid w:val="008640F4"/>
    <w:rsid w:val="008651D0"/>
    <w:rsid w:val="00867FA9"/>
    <w:rsid w:val="0087040C"/>
    <w:rsid w:val="0087194F"/>
    <w:rsid w:val="00872DC2"/>
    <w:rsid w:val="00876CE0"/>
    <w:rsid w:val="00876ED8"/>
    <w:rsid w:val="0087722B"/>
    <w:rsid w:val="00880F22"/>
    <w:rsid w:val="00881A64"/>
    <w:rsid w:val="00883085"/>
    <w:rsid w:val="0088475B"/>
    <w:rsid w:val="00886973"/>
    <w:rsid w:val="008941B9"/>
    <w:rsid w:val="00894FAF"/>
    <w:rsid w:val="008A01FA"/>
    <w:rsid w:val="008A16B2"/>
    <w:rsid w:val="008A5487"/>
    <w:rsid w:val="008B4A2A"/>
    <w:rsid w:val="008B54E3"/>
    <w:rsid w:val="008B5D7E"/>
    <w:rsid w:val="008B709F"/>
    <w:rsid w:val="008B7AC5"/>
    <w:rsid w:val="008C424E"/>
    <w:rsid w:val="008D086E"/>
    <w:rsid w:val="008D444A"/>
    <w:rsid w:val="008E7820"/>
    <w:rsid w:val="008F269A"/>
    <w:rsid w:val="008F4624"/>
    <w:rsid w:val="009006AD"/>
    <w:rsid w:val="009017BB"/>
    <w:rsid w:val="00907D77"/>
    <w:rsid w:val="00911D77"/>
    <w:rsid w:val="00915C33"/>
    <w:rsid w:val="009162F5"/>
    <w:rsid w:val="009170F9"/>
    <w:rsid w:val="009172C3"/>
    <w:rsid w:val="00920B9D"/>
    <w:rsid w:val="00922C61"/>
    <w:rsid w:val="00927054"/>
    <w:rsid w:val="00930D30"/>
    <w:rsid w:val="00933263"/>
    <w:rsid w:val="00940FB7"/>
    <w:rsid w:val="009478B1"/>
    <w:rsid w:val="009501AE"/>
    <w:rsid w:val="009518F4"/>
    <w:rsid w:val="00952AD5"/>
    <w:rsid w:val="00952FCA"/>
    <w:rsid w:val="00953175"/>
    <w:rsid w:val="00971D4F"/>
    <w:rsid w:val="00972CBC"/>
    <w:rsid w:val="00975F2E"/>
    <w:rsid w:val="00977D66"/>
    <w:rsid w:val="00980BE3"/>
    <w:rsid w:val="0098156F"/>
    <w:rsid w:val="00985DAE"/>
    <w:rsid w:val="009905B3"/>
    <w:rsid w:val="00991FC2"/>
    <w:rsid w:val="00994493"/>
    <w:rsid w:val="009A5290"/>
    <w:rsid w:val="009B08E9"/>
    <w:rsid w:val="009B4E81"/>
    <w:rsid w:val="009C54C3"/>
    <w:rsid w:val="009D03A3"/>
    <w:rsid w:val="009D2BF5"/>
    <w:rsid w:val="009D5ACD"/>
    <w:rsid w:val="009E1B51"/>
    <w:rsid w:val="009E2A20"/>
    <w:rsid w:val="009E442D"/>
    <w:rsid w:val="009E4E33"/>
    <w:rsid w:val="009E53CA"/>
    <w:rsid w:val="009F0847"/>
    <w:rsid w:val="009F494E"/>
    <w:rsid w:val="009F5E60"/>
    <w:rsid w:val="009F617B"/>
    <w:rsid w:val="009F67AA"/>
    <w:rsid w:val="009F6826"/>
    <w:rsid w:val="00A00CAB"/>
    <w:rsid w:val="00A07F91"/>
    <w:rsid w:val="00A12E64"/>
    <w:rsid w:val="00A13047"/>
    <w:rsid w:val="00A13385"/>
    <w:rsid w:val="00A13BB4"/>
    <w:rsid w:val="00A15597"/>
    <w:rsid w:val="00A16199"/>
    <w:rsid w:val="00A164C2"/>
    <w:rsid w:val="00A16E8C"/>
    <w:rsid w:val="00A279A3"/>
    <w:rsid w:val="00A31452"/>
    <w:rsid w:val="00A40CD8"/>
    <w:rsid w:val="00A41712"/>
    <w:rsid w:val="00A43AB0"/>
    <w:rsid w:val="00A44454"/>
    <w:rsid w:val="00A44DDD"/>
    <w:rsid w:val="00A469BF"/>
    <w:rsid w:val="00A50869"/>
    <w:rsid w:val="00A53828"/>
    <w:rsid w:val="00A56974"/>
    <w:rsid w:val="00A57232"/>
    <w:rsid w:val="00A57D9C"/>
    <w:rsid w:val="00A63B31"/>
    <w:rsid w:val="00A63D16"/>
    <w:rsid w:val="00A64A22"/>
    <w:rsid w:val="00A67C8D"/>
    <w:rsid w:val="00A71190"/>
    <w:rsid w:val="00A71873"/>
    <w:rsid w:val="00A75863"/>
    <w:rsid w:val="00A8596D"/>
    <w:rsid w:val="00A85FB1"/>
    <w:rsid w:val="00A877C8"/>
    <w:rsid w:val="00A922C4"/>
    <w:rsid w:val="00A92C64"/>
    <w:rsid w:val="00A94463"/>
    <w:rsid w:val="00A9733F"/>
    <w:rsid w:val="00AB4C72"/>
    <w:rsid w:val="00AB61F9"/>
    <w:rsid w:val="00AB6CE4"/>
    <w:rsid w:val="00AB7AC9"/>
    <w:rsid w:val="00AC6F4E"/>
    <w:rsid w:val="00AD0213"/>
    <w:rsid w:val="00AD5205"/>
    <w:rsid w:val="00AD7D43"/>
    <w:rsid w:val="00AE4FB2"/>
    <w:rsid w:val="00AE50D2"/>
    <w:rsid w:val="00AE7C46"/>
    <w:rsid w:val="00AF03FC"/>
    <w:rsid w:val="00AF10CF"/>
    <w:rsid w:val="00AF12C5"/>
    <w:rsid w:val="00AF342F"/>
    <w:rsid w:val="00AF3C01"/>
    <w:rsid w:val="00AF53A7"/>
    <w:rsid w:val="00AF6F09"/>
    <w:rsid w:val="00B000DC"/>
    <w:rsid w:val="00B02675"/>
    <w:rsid w:val="00B02C80"/>
    <w:rsid w:val="00B11511"/>
    <w:rsid w:val="00B142C5"/>
    <w:rsid w:val="00B17B3A"/>
    <w:rsid w:val="00B20B46"/>
    <w:rsid w:val="00B22F98"/>
    <w:rsid w:val="00B23D71"/>
    <w:rsid w:val="00B24063"/>
    <w:rsid w:val="00B33C9A"/>
    <w:rsid w:val="00B3566A"/>
    <w:rsid w:val="00B35DC7"/>
    <w:rsid w:val="00B372B8"/>
    <w:rsid w:val="00B3785C"/>
    <w:rsid w:val="00B404CD"/>
    <w:rsid w:val="00B42A20"/>
    <w:rsid w:val="00B5079C"/>
    <w:rsid w:val="00B514F1"/>
    <w:rsid w:val="00B538CD"/>
    <w:rsid w:val="00B54509"/>
    <w:rsid w:val="00B57849"/>
    <w:rsid w:val="00B60080"/>
    <w:rsid w:val="00B61C39"/>
    <w:rsid w:val="00B65176"/>
    <w:rsid w:val="00B66998"/>
    <w:rsid w:val="00B670D9"/>
    <w:rsid w:val="00B8219E"/>
    <w:rsid w:val="00B84C46"/>
    <w:rsid w:val="00B84C67"/>
    <w:rsid w:val="00B85FA8"/>
    <w:rsid w:val="00B91374"/>
    <w:rsid w:val="00B93232"/>
    <w:rsid w:val="00B93B00"/>
    <w:rsid w:val="00B945EF"/>
    <w:rsid w:val="00B9707A"/>
    <w:rsid w:val="00BA2641"/>
    <w:rsid w:val="00BA6028"/>
    <w:rsid w:val="00BB01AA"/>
    <w:rsid w:val="00BB3E6E"/>
    <w:rsid w:val="00BB43E7"/>
    <w:rsid w:val="00BB4693"/>
    <w:rsid w:val="00BB581E"/>
    <w:rsid w:val="00BD117E"/>
    <w:rsid w:val="00BD4B53"/>
    <w:rsid w:val="00BE2C16"/>
    <w:rsid w:val="00BE32D1"/>
    <w:rsid w:val="00BF3E28"/>
    <w:rsid w:val="00BF4C48"/>
    <w:rsid w:val="00BF57BF"/>
    <w:rsid w:val="00C05752"/>
    <w:rsid w:val="00C07B6C"/>
    <w:rsid w:val="00C102AE"/>
    <w:rsid w:val="00C12201"/>
    <w:rsid w:val="00C1565D"/>
    <w:rsid w:val="00C1749D"/>
    <w:rsid w:val="00C318EA"/>
    <w:rsid w:val="00C31A6F"/>
    <w:rsid w:val="00C32DEC"/>
    <w:rsid w:val="00C41308"/>
    <w:rsid w:val="00C422A8"/>
    <w:rsid w:val="00C42FAB"/>
    <w:rsid w:val="00C453AF"/>
    <w:rsid w:val="00C4650C"/>
    <w:rsid w:val="00C56F41"/>
    <w:rsid w:val="00C61C10"/>
    <w:rsid w:val="00C70722"/>
    <w:rsid w:val="00C7197D"/>
    <w:rsid w:val="00C725DD"/>
    <w:rsid w:val="00C7284C"/>
    <w:rsid w:val="00C81E3C"/>
    <w:rsid w:val="00C82EF4"/>
    <w:rsid w:val="00C83C17"/>
    <w:rsid w:val="00CA34C6"/>
    <w:rsid w:val="00CA3D12"/>
    <w:rsid w:val="00CB3655"/>
    <w:rsid w:val="00CB60AB"/>
    <w:rsid w:val="00CB692A"/>
    <w:rsid w:val="00CB6FFB"/>
    <w:rsid w:val="00CC2B35"/>
    <w:rsid w:val="00CC4753"/>
    <w:rsid w:val="00CC67C0"/>
    <w:rsid w:val="00CD3987"/>
    <w:rsid w:val="00CD7C19"/>
    <w:rsid w:val="00CE3BD4"/>
    <w:rsid w:val="00CE5A96"/>
    <w:rsid w:val="00CF0F84"/>
    <w:rsid w:val="00CF3AB9"/>
    <w:rsid w:val="00CF550C"/>
    <w:rsid w:val="00D025E4"/>
    <w:rsid w:val="00D0282D"/>
    <w:rsid w:val="00D07042"/>
    <w:rsid w:val="00D0744A"/>
    <w:rsid w:val="00D10031"/>
    <w:rsid w:val="00D114EA"/>
    <w:rsid w:val="00D12CDC"/>
    <w:rsid w:val="00D160C5"/>
    <w:rsid w:val="00D171B9"/>
    <w:rsid w:val="00D20386"/>
    <w:rsid w:val="00D207FE"/>
    <w:rsid w:val="00D24019"/>
    <w:rsid w:val="00D243B2"/>
    <w:rsid w:val="00D311FF"/>
    <w:rsid w:val="00D32256"/>
    <w:rsid w:val="00D34210"/>
    <w:rsid w:val="00D365FB"/>
    <w:rsid w:val="00D469A8"/>
    <w:rsid w:val="00D52E45"/>
    <w:rsid w:val="00D53E7E"/>
    <w:rsid w:val="00D53EBE"/>
    <w:rsid w:val="00D5526E"/>
    <w:rsid w:val="00D5598C"/>
    <w:rsid w:val="00D57FC6"/>
    <w:rsid w:val="00D62239"/>
    <w:rsid w:val="00D63A42"/>
    <w:rsid w:val="00D73C20"/>
    <w:rsid w:val="00D7545B"/>
    <w:rsid w:val="00D77122"/>
    <w:rsid w:val="00D83E68"/>
    <w:rsid w:val="00D84A09"/>
    <w:rsid w:val="00D87270"/>
    <w:rsid w:val="00D87902"/>
    <w:rsid w:val="00D87945"/>
    <w:rsid w:val="00D94D25"/>
    <w:rsid w:val="00D95C87"/>
    <w:rsid w:val="00DA083A"/>
    <w:rsid w:val="00DA162C"/>
    <w:rsid w:val="00DA5DB7"/>
    <w:rsid w:val="00DB3C41"/>
    <w:rsid w:val="00DB7EC2"/>
    <w:rsid w:val="00DC18E1"/>
    <w:rsid w:val="00DC2AE8"/>
    <w:rsid w:val="00DC6BBC"/>
    <w:rsid w:val="00DC6C0C"/>
    <w:rsid w:val="00DC6EAB"/>
    <w:rsid w:val="00DD6CCC"/>
    <w:rsid w:val="00DE3E93"/>
    <w:rsid w:val="00DE4704"/>
    <w:rsid w:val="00DE7083"/>
    <w:rsid w:val="00DF2AA6"/>
    <w:rsid w:val="00DF4020"/>
    <w:rsid w:val="00DF7B61"/>
    <w:rsid w:val="00E077E6"/>
    <w:rsid w:val="00E1228E"/>
    <w:rsid w:val="00E2090D"/>
    <w:rsid w:val="00E227EB"/>
    <w:rsid w:val="00E27E94"/>
    <w:rsid w:val="00E30371"/>
    <w:rsid w:val="00E34A78"/>
    <w:rsid w:val="00E4005F"/>
    <w:rsid w:val="00E439D7"/>
    <w:rsid w:val="00E456B3"/>
    <w:rsid w:val="00E4674A"/>
    <w:rsid w:val="00E51462"/>
    <w:rsid w:val="00E5463E"/>
    <w:rsid w:val="00E54DE2"/>
    <w:rsid w:val="00E57425"/>
    <w:rsid w:val="00E57C28"/>
    <w:rsid w:val="00E67DB6"/>
    <w:rsid w:val="00E70412"/>
    <w:rsid w:val="00E75458"/>
    <w:rsid w:val="00E75AC4"/>
    <w:rsid w:val="00E761FC"/>
    <w:rsid w:val="00E76760"/>
    <w:rsid w:val="00E81A00"/>
    <w:rsid w:val="00E81CF2"/>
    <w:rsid w:val="00E92F18"/>
    <w:rsid w:val="00E94223"/>
    <w:rsid w:val="00E9607B"/>
    <w:rsid w:val="00EA02AC"/>
    <w:rsid w:val="00EA306A"/>
    <w:rsid w:val="00EB7616"/>
    <w:rsid w:val="00EC189D"/>
    <w:rsid w:val="00EC52E6"/>
    <w:rsid w:val="00ED35D7"/>
    <w:rsid w:val="00ED3D52"/>
    <w:rsid w:val="00ED6A32"/>
    <w:rsid w:val="00EE083C"/>
    <w:rsid w:val="00EE2507"/>
    <w:rsid w:val="00EE769D"/>
    <w:rsid w:val="00EF35BF"/>
    <w:rsid w:val="00EF61E2"/>
    <w:rsid w:val="00F05229"/>
    <w:rsid w:val="00F063F9"/>
    <w:rsid w:val="00F11328"/>
    <w:rsid w:val="00F1358C"/>
    <w:rsid w:val="00F1553A"/>
    <w:rsid w:val="00F1593E"/>
    <w:rsid w:val="00F214FB"/>
    <w:rsid w:val="00F227CE"/>
    <w:rsid w:val="00F254E1"/>
    <w:rsid w:val="00F2794F"/>
    <w:rsid w:val="00F45E66"/>
    <w:rsid w:val="00F50FFB"/>
    <w:rsid w:val="00F51625"/>
    <w:rsid w:val="00F51AA8"/>
    <w:rsid w:val="00F54904"/>
    <w:rsid w:val="00F6078A"/>
    <w:rsid w:val="00F63F83"/>
    <w:rsid w:val="00F6425A"/>
    <w:rsid w:val="00F67B35"/>
    <w:rsid w:val="00F75643"/>
    <w:rsid w:val="00F920EE"/>
    <w:rsid w:val="00F96663"/>
    <w:rsid w:val="00F96ED2"/>
    <w:rsid w:val="00FA6163"/>
    <w:rsid w:val="00FA68AA"/>
    <w:rsid w:val="00FC25C5"/>
    <w:rsid w:val="00FC4946"/>
    <w:rsid w:val="00FC67FE"/>
    <w:rsid w:val="00FD08AA"/>
    <w:rsid w:val="00FD4979"/>
    <w:rsid w:val="00FD4A82"/>
    <w:rsid w:val="00FD728B"/>
    <w:rsid w:val="00FD7501"/>
    <w:rsid w:val="00FE42EC"/>
    <w:rsid w:val="00FE510A"/>
    <w:rsid w:val="00FE5EBA"/>
    <w:rsid w:val="00FE6631"/>
    <w:rsid w:val="00FE7DAC"/>
    <w:rsid w:val="00FF2F46"/>
    <w:rsid w:val="00FF42D1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DD3564"/>
  <w15:chartTrackingRefBased/>
  <w15:docId w15:val="{19266C26-3A01-C74A-B1E7-AC53A10D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Zadanifontodlomka2">
    <w:name w:val="Zadani font odlomka2"/>
  </w:style>
  <w:style w:type="character" w:customStyle="1" w:styleId="WW8Num1z0">
    <w:name w:val="WW8Num1z0"/>
    <w:rPr>
      <w:rFonts w:ascii="Symbol" w:hAnsi="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Zadanifontodlomka1">
    <w:name w:val="Zadani font odlomka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-DefaultParagraphFont">
    <w:name w:val="WW-Default Paragraph Font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Zadanifontodlomka10">
    <w:name w:val="Zadani font odlomka1"/>
  </w:style>
  <w:style w:type="character" w:customStyle="1" w:styleId="Simbolinumeriranja">
    <w:name w:val="Simboli numeriranja"/>
    <w:rPr>
      <w:b/>
      <w:bCs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character" w:customStyle="1" w:styleId="WW-DefaultParagraphFont1">
    <w:name w:val="WW-Default Paragraph Font1"/>
  </w:style>
  <w:style w:type="character" w:styleId="Hiperveza">
    <w:name w:val="Hyperlink"/>
    <w:rPr>
      <w:color w:val="0000FF"/>
      <w:u w:val="single"/>
    </w:rPr>
  </w:style>
  <w:style w:type="character" w:customStyle="1" w:styleId="messagebody">
    <w:name w:val="messagebody"/>
    <w:basedOn w:val="WW-DefaultParagraphFont1"/>
  </w:style>
  <w:style w:type="character" w:customStyle="1" w:styleId="textexposedshow">
    <w:name w:val="text_exposed_show"/>
    <w:basedOn w:val="WW-DefaultParagraphFon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Naslov2">
    <w:name w:val="Naslov2"/>
    <w:basedOn w:val="Normal"/>
    <w:next w:val="Tijelotekst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Kartadokumenta1">
    <w:name w:val="Karta dokumenta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3E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63E0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DD47E-A8D9-4A0C-A6ED-9750D67F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FINANCIJSKOG PLANA</vt:lpstr>
    </vt:vector>
  </TitlesOfParts>
  <Company/>
  <LinksUpToDate>false</LinksUpToDate>
  <CharactersWithSpaces>14260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FINANCIJSKOG PLANA</dc:title>
  <dc:subject/>
  <dc:creator>Korisnik</dc:creator>
  <cp:keywords/>
  <cp:lastModifiedBy>Ina Dukan</cp:lastModifiedBy>
  <cp:revision>2</cp:revision>
  <cp:lastPrinted>2022-10-13T12:01:00Z</cp:lastPrinted>
  <dcterms:created xsi:type="dcterms:W3CDTF">2022-12-14T12:49:00Z</dcterms:created>
  <dcterms:modified xsi:type="dcterms:W3CDTF">2022-12-14T12:49:00Z</dcterms:modified>
</cp:coreProperties>
</file>